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p>
    <w:p>
      <w:pPr>
        <w:spacing w:after="200"/>
      </w:pPr>
    </w:p>
    <w:p>
      <w:pPr>
        <w:spacing w:after="200"/>
      </w:pPr>
    </w:p>
    <w:p>
      <w:pPr>
        <w:spacing w:after="80"/>
        <w:jc w:val="center"/>
      </w:pPr>
      <w:r>
        <w:rPr>
          <w:rFonts w:ascii="Cambria" w:cs="Cambria" w:eastAsia="Cambria" w:hAnsi="Cambria"/>
          <w:b/>
          <w:bCs/>
          <w:caps/>
          <w:color w:val="444444"/>
          <w:sz w:val="24"/>
          <w:szCs w:val="24"/>
        </w:rPr>
        <w:t xml:space="preserve">OHANA JAMAICA LIMITED</w:t>
      </w:r>
    </w:p>
    <w:p>
      <w:pPr>
        <w:spacing w:after="40"/>
        <w:jc w:val="center"/>
      </w:pPr>
      <w:r>
        <w:rPr>
          <w:rFonts w:ascii="Calibri" w:cs="Calibri" w:eastAsia="Calibri" w:hAnsi="Calibri"/>
          <w:i/>
          <w:iCs/>
          <w:color w:val="444444"/>
          <w:sz w:val="18"/>
          <w:szCs w:val="18"/>
        </w:rPr>
        <w:t xml:space="preserve">operating as</w:t>
      </w:r>
    </w:p>
    <w:p>
      <w:pPr>
        <w:spacing w:after="360"/>
        <w:jc w:val="center"/>
      </w:pPr>
      <w:r>
        <w:rPr>
          <w:rFonts w:ascii="Cambria" w:cs="Cambria" w:eastAsia="Cambria" w:hAnsi="Cambria"/>
          <w:b/>
          <w:bCs/>
          <w:color w:val="14532D"/>
          <w:sz w:val="64"/>
          <w:szCs w:val="64"/>
        </w:rPr>
        <w:t xml:space="preserve">EduJA</w:t>
      </w:r>
    </w:p>
    <w:p>
      <w:pPr>
        <w:pBdr>
          <w:top w:val="single" w:color="9A6B00" w:sz="12" w:space="12"/>
          <w:bottom w:val="single" w:color="9A6B00" w:sz="12" w:space="12"/>
        </w:pBdr>
        <w:spacing w:after="200" w:before="200"/>
        <w:jc w:val="center"/>
      </w:pPr>
      <w:r>
        <w:rPr>
          <w:rFonts w:ascii="Cambria" w:cs="Cambria" w:eastAsia="Cambria" w:hAnsi="Cambria"/>
          <w:b/>
          <w:bCs/>
          <w:color w:val="1A1A1A"/>
          <w:sz w:val="40"/>
          <w:szCs w:val="40"/>
        </w:rPr>
        <w:t xml:space="preserve">STAFF HANDBOOK</w:t>
      </w:r>
    </w:p>
    <w:p>
      <w:pPr>
        <w:spacing w:after="40" w:before="200"/>
        <w:jc w:val="center"/>
      </w:pPr>
      <w:r>
        <w:rPr>
          <w:rFonts w:ascii="Calibri" w:cs="Calibri" w:eastAsia="Calibri" w:hAnsi="Calibri"/>
          <w:i/>
          <w:iCs/>
          <w:color w:val="444444"/>
          <w:sz w:val="24"/>
          <w:szCs w:val="24"/>
        </w:rPr>
        <w:t xml:space="preserve">Training Guide, Code of Conduct &amp; Compliance Manual</w:t>
      </w:r>
    </w:p>
    <w:p>
      <w:pPr>
        <w:spacing w:after="40"/>
        <w:jc w:val="center"/>
      </w:pPr>
      <w:r>
        <w:rPr>
          <w:rFonts w:ascii="Calibri" w:cs="Calibri" w:eastAsia="Calibri" w:hAnsi="Calibri"/>
          <w:color w:val="444444"/>
          <w:sz w:val="22"/>
          <w:szCs w:val="22"/>
        </w:rPr>
        <w:t xml:space="preserve">for Sales Associates, Administrative Staff &amp; Teachers</w:t>
      </w:r>
    </w:p>
    <w:p>
      <w:pPr>
        <w:spacing w:after="900"/>
      </w:pPr>
    </w:p>
    <w:p>
      <w:pPr>
        <w:spacing w:after="40"/>
        <w:jc w:val="center"/>
      </w:pPr>
      <w:r>
        <w:rPr>
          <w:rFonts w:ascii="Calibri" w:cs="Calibri" w:eastAsia="Calibri" w:hAnsi="Calibri"/>
          <w:b/>
          <w:bCs/>
          <w:color w:val="1A1A1A"/>
          <w:sz w:val="20"/>
          <w:szCs w:val="20"/>
        </w:rPr>
        <w:t xml:space="preserve">Version 1.6</w:t>
      </w:r>
    </w:p>
    <w:p>
      <w:pPr>
        <w:spacing w:after="40"/>
        <w:jc w:val="center"/>
      </w:pPr>
      <w:r>
        <w:rPr>
          <w:rFonts w:ascii="Calibri" w:cs="Calibri" w:eastAsia="Calibri" w:hAnsi="Calibri"/>
          <w:color w:val="1A1A1A"/>
          <w:sz w:val="20"/>
          <w:szCs w:val="20"/>
        </w:rPr>
        <w:t xml:space="preserve">Effective Date: October 6, 2026</w:t>
      </w:r>
    </w:p>
    <w:p>
      <w:pPr>
        <w:spacing w:after="320"/>
        <w:jc w:val="center"/>
      </w:pPr>
      <w:r>
        <w:rPr>
          <w:rFonts w:ascii="Calibri" w:cs="Calibri" w:eastAsia="Calibri" w:hAnsi="Calibri"/>
          <w:color w:val="1A1A1A"/>
          <w:sz w:val="20"/>
          <w:szCs w:val="20"/>
        </w:rPr>
        <w:t xml:space="preserve">Approved by: George E. Morgan, President &amp; Chief Executive Officer</w:t>
      </w:r>
    </w:p>
    <w:p>
      <w:pPr>
        <w:spacing w:before="400"/>
        <w:jc w:val="center"/>
      </w:pPr>
      <w:r>
        <w:rPr>
          <w:rFonts w:ascii="Calibri" w:cs="Calibri" w:eastAsia="Calibri" w:hAnsi="Calibri"/>
          <w:b/>
          <w:bCs/>
          <w:color w:val="8A2E2E"/>
          <w:sz w:val="18"/>
          <w:szCs w:val="18"/>
        </w:rPr>
        <w:t xml:space="preserve">CONFIDENTIAL — INTERNAL USE ONLY</w:t>
      </w:r>
    </w:p>
    <w:p>
      <w:pPr>
        <w:spacing w:after="40"/>
        <w:jc w:val="center"/>
      </w:pPr>
      <w:r>
        <w:rPr>
          <w:rFonts w:ascii="Calibri" w:cs="Calibri" w:eastAsia="Calibri" w:hAnsi="Calibri"/>
          <w:i/>
          <w:iCs/>
          <w:color w:val="444444"/>
          <w:sz w:val="16"/>
          <w:szCs w:val="16"/>
        </w:rPr>
        <w:t xml:space="preserve">This handbook and its contents are the confidential property of Ohana Jamaica Limited.</w:t>
      </w:r>
    </w:p>
    <w:p>
      <w:pPr>
        <w:jc w:val="center"/>
      </w:pPr>
      <w:r>
        <w:rPr>
          <w:rFonts w:ascii="Calibri" w:cs="Calibri" w:eastAsia="Calibri" w:hAnsi="Calibri"/>
          <w:i/>
          <w:iCs/>
          <w:color w:val="444444"/>
          <w:sz w:val="16"/>
          <w:szCs w:val="16"/>
        </w:rPr>
        <w:t xml:space="preserve">Not for distribution outside the organization.</w:t>
      </w:r>
    </w:p>
    <w:p>
      <w:r>
        <w:br w:type="page"/>
      </w:r>
    </w:p>
    <w:p>
      <w:pPr>
        <w:pStyle w:val="Heading1"/>
        <w:spacing w:after="240"/>
      </w:pPr>
      <w:r>
        <w:rPr>
          <w:rFonts w:ascii="Cambria" w:cs="Cambria" w:eastAsia="Cambria" w:hAnsi="Cambria"/>
          <w:b/>
          <w:bCs/>
          <w:color w:val="14532D"/>
          <w:sz w:val="32"/>
          <w:szCs w:val="32"/>
        </w:rPr>
        <w:t xml:space="preserve">Document Control</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50"/>
        <w:gridCol w:w="6200"/>
      </w:tblGrid>
      <w:tr>
        <w:tc>
          <w:tcPr>
            <w:tcW w:type="dxa" w:w="3150"/>
            <w:shd w:fill="14532D" w:color="auto" w:val="clear"/>
            <w:tcMar>
              <w:top w:type="dxa" w:w="100"/>
              <w:left w:type="dxa" w:w="120"/>
              <w:bottom w:type="dxa" w:w="100"/>
              <w:right w:type="dxa" w:w="120"/>
            </w:tcMar>
          </w:tcPr>
          <w:p>
            <w:r>
              <w:rPr>
                <w:rFonts w:ascii="Calibri" w:cs="Calibri" w:eastAsia="Calibri" w:hAnsi="Calibri"/>
                <w:b/>
                <w:bCs/>
                <w:color w:val="FFFFFF"/>
                <w:sz w:val="19"/>
                <w:szCs w:val="19"/>
              </w:rPr>
              <w:t xml:space="preserve">Field</w:t>
            </w:r>
          </w:p>
        </w:tc>
        <w:tc>
          <w:tcPr>
            <w:tcW w:type="dxa" w:w="6200"/>
            <w:shd w:fill="14532D" w:color="auto" w:val="clear"/>
            <w:tcMar>
              <w:top w:type="dxa" w:w="100"/>
              <w:left w:type="dxa" w:w="120"/>
              <w:bottom w:type="dxa" w:w="100"/>
              <w:right w:type="dxa" w:w="120"/>
            </w:tcMar>
          </w:tcPr>
          <w:p>
            <w:r>
              <w:rPr>
                <w:rFonts w:ascii="Calibri" w:cs="Calibri" w:eastAsia="Calibri" w:hAnsi="Calibri"/>
                <w:b/>
                <w:bCs/>
                <w:color w:val="FFFFFF"/>
                <w:sz w:val="19"/>
                <w:szCs w:val="19"/>
              </w:rPr>
              <w:t xml:space="preserve">Details</w:t>
            </w:r>
          </w:p>
        </w:tc>
      </w:tr>
      <w:tr>
        <w:tc>
          <w:tcPr>
            <w:tcW w:type="dxa" w:w="3150"/>
            <w:shd w:fill="E8F1EC" w:color="auto" w:val="clear"/>
            <w:tcMar>
              <w:top w:type="dxa" w:w="100"/>
              <w:left w:type="dxa" w:w="120"/>
              <w:bottom w:type="dxa" w:w="100"/>
              <w:right w:type="dxa" w:w="120"/>
            </w:tcMar>
          </w:tcPr>
          <w:p>
            <w:r>
              <w:rPr>
                <w:rFonts w:ascii="Calibri" w:cs="Calibri" w:eastAsia="Calibri" w:hAnsi="Calibri"/>
                <w:b/>
                <w:bCs/>
                <w:color w:val="1A1A1A"/>
                <w:sz w:val="19"/>
                <w:szCs w:val="19"/>
              </w:rPr>
              <w:t xml:space="preserve">Document Title</w:t>
            </w:r>
          </w:p>
        </w:tc>
        <w:tc>
          <w:tcPr>
            <w:tcW w:type="dxa" w:w="6200"/>
            <w:tcMar>
              <w:top w:type="dxa" w:w="100"/>
              <w:left w:type="dxa" w:w="120"/>
              <w:bottom w:type="dxa" w:w="100"/>
              <w:right w:type="dxa" w:w="120"/>
            </w:tcMar>
          </w:tcPr>
          <w:p>
            <w:r>
              <w:rPr>
                <w:rFonts w:ascii="Calibri" w:cs="Calibri" w:eastAsia="Calibri" w:hAnsi="Calibri"/>
                <w:b w:val="false"/>
                <w:bCs w:val="false"/>
                <w:color w:val="1A1A1A"/>
                <w:sz w:val="19"/>
                <w:szCs w:val="19"/>
              </w:rPr>
              <w:t xml:space="preserve">EduJA Staff Handbook — Training Guide, Code of Conduct &amp; Compliance Manual</w:t>
            </w:r>
          </w:p>
        </w:tc>
      </w:tr>
      <w:tr>
        <w:tc>
          <w:tcPr>
            <w:tcW w:type="dxa" w:w="3150"/>
            <w:shd w:fill="E8F1EC" w:color="auto" w:val="clear"/>
            <w:tcMar>
              <w:top w:type="dxa" w:w="100"/>
              <w:left w:type="dxa" w:w="120"/>
              <w:bottom w:type="dxa" w:w="100"/>
              <w:right w:type="dxa" w:w="120"/>
            </w:tcMar>
          </w:tcPr>
          <w:p>
            <w:r>
              <w:rPr>
                <w:rFonts w:ascii="Calibri" w:cs="Calibri" w:eastAsia="Calibri" w:hAnsi="Calibri"/>
                <w:b/>
                <w:bCs/>
                <w:color w:val="1A1A1A"/>
                <w:sz w:val="19"/>
                <w:szCs w:val="19"/>
              </w:rPr>
              <w:t xml:space="preserve">Document Owner</w:t>
            </w:r>
          </w:p>
        </w:tc>
        <w:tc>
          <w:tcPr>
            <w:tcW w:type="dxa" w:w="6200"/>
            <w:tcMar>
              <w:top w:type="dxa" w:w="100"/>
              <w:left w:type="dxa" w:w="120"/>
              <w:bottom w:type="dxa" w:w="100"/>
              <w:right w:type="dxa" w:w="120"/>
            </w:tcMar>
          </w:tcPr>
          <w:p>
            <w:r>
              <w:rPr>
                <w:rFonts w:ascii="Calibri" w:cs="Calibri" w:eastAsia="Calibri" w:hAnsi="Calibri"/>
                <w:b w:val="false"/>
                <w:bCs w:val="false"/>
                <w:color w:val="1A1A1A"/>
                <w:sz w:val="19"/>
                <w:szCs w:val="19"/>
              </w:rPr>
              <w:t xml:space="preserve">Ohana Jamaica Limited — Office of the CEO</w:t>
            </w:r>
          </w:p>
        </w:tc>
      </w:tr>
      <w:tr>
        <w:tc>
          <w:tcPr>
            <w:tcW w:type="dxa" w:w="3150"/>
            <w:shd w:fill="E8F1EC" w:color="auto" w:val="clear"/>
            <w:tcMar>
              <w:top w:type="dxa" w:w="100"/>
              <w:left w:type="dxa" w:w="120"/>
              <w:bottom w:type="dxa" w:w="100"/>
              <w:right w:type="dxa" w:w="120"/>
            </w:tcMar>
          </w:tcPr>
          <w:p>
            <w:r>
              <w:rPr>
                <w:rFonts w:ascii="Calibri" w:cs="Calibri" w:eastAsia="Calibri" w:hAnsi="Calibri"/>
                <w:b/>
                <w:bCs/>
                <w:color w:val="1A1A1A"/>
                <w:sz w:val="19"/>
                <w:szCs w:val="19"/>
              </w:rPr>
              <w:t xml:space="preserve">Applies To</w:t>
            </w:r>
          </w:p>
        </w:tc>
        <w:tc>
          <w:tcPr>
            <w:tcW w:type="dxa" w:w="6200"/>
            <w:tcMar>
              <w:top w:type="dxa" w:w="100"/>
              <w:left w:type="dxa" w:w="120"/>
              <w:bottom w:type="dxa" w:w="100"/>
              <w:right w:type="dxa" w:w="120"/>
            </w:tcMar>
          </w:tcPr>
          <w:p>
            <w:r>
              <w:rPr>
                <w:rFonts w:ascii="Calibri" w:cs="Calibri" w:eastAsia="Calibri" w:hAnsi="Calibri"/>
                <w:b w:val="false"/>
                <w:bCs w:val="false"/>
                <w:color w:val="1A1A1A"/>
                <w:sz w:val="19"/>
                <w:szCs w:val="19"/>
              </w:rPr>
              <w:t xml:space="preserve">All employees, contractors, and engaged personnel of Ohana Jamaica Limited performing sales, administrative, or teaching functions in connection with EduJA</w:t>
            </w:r>
          </w:p>
        </w:tc>
      </w:tr>
      <w:tr>
        <w:tc>
          <w:tcPr>
            <w:tcW w:type="dxa" w:w="3150"/>
            <w:shd w:fill="E8F1EC" w:color="auto" w:val="clear"/>
            <w:tcMar>
              <w:top w:type="dxa" w:w="100"/>
              <w:left w:type="dxa" w:w="120"/>
              <w:bottom w:type="dxa" w:w="100"/>
              <w:right w:type="dxa" w:w="120"/>
            </w:tcMar>
          </w:tcPr>
          <w:p>
            <w:r>
              <w:rPr>
                <w:rFonts w:ascii="Calibri" w:cs="Calibri" w:eastAsia="Calibri" w:hAnsi="Calibri"/>
                <w:b/>
                <w:bCs/>
                <w:color w:val="1A1A1A"/>
                <w:sz w:val="19"/>
                <w:szCs w:val="19"/>
              </w:rPr>
              <w:t xml:space="preserve">Version</w:t>
            </w:r>
          </w:p>
        </w:tc>
        <w:tc>
          <w:tcPr>
            <w:tcW w:type="dxa" w:w="6200"/>
            <w:tcMar>
              <w:top w:type="dxa" w:w="100"/>
              <w:left w:type="dxa" w:w="120"/>
              <w:bottom w:type="dxa" w:w="100"/>
              <w:right w:type="dxa" w:w="120"/>
            </w:tcMar>
          </w:tcPr>
          <w:p>
            <w:r>
              <w:rPr>
                <w:rFonts w:ascii="Calibri" w:cs="Calibri" w:eastAsia="Calibri" w:hAnsi="Calibri"/>
                <w:b w:val="false"/>
                <w:bCs w:val="false"/>
                <w:color w:val="1A1A1A"/>
                <w:sz w:val="19"/>
                <w:szCs w:val="19"/>
              </w:rPr>
              <w:t>1.6</w:t>
            </w:r>
          </w:p>
        </w:tc>
      </w:tr>
      <w:tr>
        <w:tc>
          <w:tcPr>
            <w:tcW w:type="dxa" w:w="3150"/>
            <w:shd w:fill="E8F1EC" w:color="auto" w:val="clear"/>
            <w:tcMar>
              <w:top w:type="dxa" w:w="100"/>
              <w:left w:type="dxa" w:w="120"/>
              <w:bottom w:type="dxa" w:w="100"/>
              <w:right w:type="dxa" w:w="120"/>
            </w:tcMar>
          </w:tcPr>
          <w:p>
            <w:r>
              <w:rPr>
                <w:rFonts w:ascii="Calibri" w:cs="Calibri" w:eastAsia="Calibri" w:hAnsi="Calibri"/>
                <w:b/>
                <w:bCs/>
                <w:color w:val="1A1A1A"/>
                <w:sz w:val="19"/>
                <w:szCs w:val="19"/>
              </w:rPr>
              <w:t xml:space="preserve">Effective Date</w:t>
            </w:r>
          </w:p>
        </w:tc>
        <w:tc>
          <w:tcPr>
            <w:tcW w:type="dxa" w:w="6200"/>
            <w:tcMar>
              <w:top w:type="dxa" w:w="100"/>
              <w:left w:type="dxa" w:w="120"/>
              <w:bottom w:type="dxa" w:w="100"/>
              <w:right w:type="dxa" w:w="120"/>
            </w:tcMar>
          </w:tcPr>
          <w:p>
            <w:r>
              <w:rPr>
                <w:rFonts w:ascii="Calibri" w:cs="Calibri" w:eastAsia="Calibri" w:hAnsi="Calibri"/>
                <w:b w:val="false"/>
                <w:bCs w:val="false"/>
                <w:color w:val="1A1A1A"/>
                <w:sz w:val="19"/>
                <w:szCs w:val="19"/>
              </w:rPr>
              <w:t>October 6, 2026</w:t>
            </w:r>
          </w:p>
        </w:tc>
      </w:tr>
      <w:tr>
        <w:tc>
          <w:tcPr>
            <w:tcW w:type="dxa" w:w="3150"/>
            <w:shd w:fill="E8F1EC" w:color="auto" w:val="clear"/>
            <w:tcMar>
              <w:top w:type="dxa" w:w="100"/>
              <w:left w:type="dxa" w:w="120"/>
              <w:bottom w:type="dxa" w:w="100"/>
              <w:right w:type="dxa" w:w="120"/>
            </w:tcMar>
          </w:tcPr>
          <w:p>
            <w:r>
              <w:rPr>
                <w:rFonts w:ascii="Calibri" w:cs="Calibri" w:eastAsia="Calibri" w:hAnsi="Calibri"/>
                <w:b/>
                <w:bCs/>
                <w:color w:val="1A1A1A"/>
                <w:sz w:val="19"/>
                <w:szCs w:val="19"/>
              </w:rPr>
              <w:t xml:space="preserve">Approved By</w:t>
            </w:r>
          </w:p>
        </w:tc>
        <w:tc>
          <w:tcPr>
            <w:tcW w:type="dxa" w:w="6200"/>
            <w:tcMar>
              <w:top w:type="dxa" w:w="100"/>
              <w:left w:type="dxa" w:w="120"/>
              <w:bottom w:type="dxa" w:w="100"/>
              <w:right w:type="dxa" w:w="120"/>
            </w:tcMar>
          </w:tcPr>
          <w:p>
            <w:r>
              <w:rPr>
                <w:rFonts w:ascii="Calibri" w:cs="Calibri" w:eastAsia="Calibri" w:hAnsi="Calibri"/>
                <w:b w:val="false"/>
                <w:bCs w:val="false"/>
                <w:color w:val="1A1A1A"/>
                <w:sz w:val="19"/>
                <w:szCs w:val="19"/>
              </w:rPr>
              <w:t xml:space="preserve">George E. Morgan, President &amp; Chief Executive Officer</w:t>
            </w:r>
          </w:p>
        </w:tc>
      </w:tr>
      <w:tr>
        <w:tc>
          <w:tcPr>
            <w:tcW w:type="dxa" w:w="3150"/>
            <w:shd w:fill="E8F1EC" w:color="auto" w:val="clear"/>
            <w:tcMar>
              <w:top w:type="dxa" w:w="100"/>
              <w:left w:type="dxa" w:w="120"/>
              <w:bottom w:type="dxa" w:w="100"/>
              <w:right w:type="dxa" w:w="120"/>
            </w:tcMar>
          </w:tcPr>
          <w:p>
            <w:r>
              <w:rPr>
                <w:rFonts w:ascii="Calibri" w:cs="Calibri" w:eastAsia="Calibri" w:hAnsi="Calibri"/>
                <w:b/>
                <w:bCs/>
                <w:color w:val="1A1A1A"/>
                <w:sz w:val="19"/>
                <w:szCs w:val="19"/>
              </w:rPr>
              <w:t xml:space="preserve">Review Cycle</w:t>
            </w:r>
          </w:p>
        </w:tc>
        <w:tc>
          <w:tcPr>
            <w:tcW w:type="dxa" w:w="6200"/>
            <w:tcMar>
              <w:top w:type="dxa" w:w="100"/>
              <w:left w:type="dxa" w:w="120"/>
              <w:bottom w:type="dxa" w:w="100"/>
              <w:right w:type="dxa" w:w="120"/>
            </w:tcMar>
          </w:tcPr>
          <w:p>
            <w:r>
              <w:rPr>
                <w:rFonts w:ascii="Calibri" w:cs="Calibri" w:eastAsia="Calibri" w:hAnsi="Calibri"/>
                <w:b w:val="false"/>
                <w:bCs w:val="false"/>
                <w:color w:val="1A1A1A"/>
                <w:sz w:val="19"/>
                <w:szCs w:val="19"/>
              </w:rPr>
              <w:t xml:space="preserve">At minimum annually, and whenever a material change occurs in law, company policy, or the EduJA platform</w:t>
            </w:r>
          </w:p>
        </w:tc>
      </w:tr>
      <w:tr>
        <w:tc>
          <w:tcPr>
            <w:tcW w:type="dxa" w:w="3150"/>
            <w:shd w:fill="E8F1EC" w:color="auto" w:val="clear"/>
            <w:tcMar>
              <w:top w:type="dxa" w:w="100"/>
              <w:left w:type="dxa" w:w="120"/>
              <w:bottom w:type="dxa" w:w="100"/>
              <w:right w:type="dxa" w:w="120"/>
            </w:tcMar>
          </w:tcPr>
          <w:p>
            <w:r>
              <w:rPr>
                <w:rFonts w:ascii="Calibri" w:cs="Calibri" w:eastAsia="Calibri" w:hAnsi="Calibri"/>
                <w:b/>
                <w:bCs/>
                <w:color w:val="1A1A1A"/>
                <w:sz w:val="19"/>
                <w:szCs w:val="19"/>
              </w:rPr>
              <w:t xml:space="preserve">Classification</w:t>
            </w:r>
          </w:p>
        </w:tc>
        <w:tc>
          <w:tcPr>
            <w:tcW w:type="dxa" w:w="6200"/>
            <w:tcMar>
              <w:top w:type="dxa" w:w="100"/>
              <w:left w:type="dxa" w:w="120"/>
              <w:bottom w:type="dxa" w:w="100"/>
              <w:right w:type="dxa" w:w="120"/>
            </w:tcMar>
          </w:tcPr>
          <w:p>
            <w:r>
              <w:rPr>
                <w:rFonts w:ascii="Calibri" w:cs="Calibri" w:eastAsia="Calibri" w:hAnsi="Calibri"/>
                <w:b w:val="false"/>
                <w:bCs w:val="false"/>
                <w:color w:val="1A1A1A"/>
                <w:sz w:val="19"/>
                <w:szCs w:val="19"/>
              </w:rPr>
              <w:t xml:space="preserve">Confidential — Internal Use Only</w:t>
            </w:r>
          </w:p>
        </w:tc>
      </w:tr>
    </w:tbl>
    <w:p>
      <w:pPr>
        <w:spacing w:after="200"/>
      </w:pPr>
    </w:p>
    <w:p>
      <w:pPr>
        <w:pStyle w:val="Heading3"/>
        <w:spacing w:after="120" w:before="260"/>
      </w:pPr>
      <w:r>
        <w:rPr>
          <w:rFonts w:ascii="Calibri" w:cs="Calibri" w:eastAsia="Calibri" w:hAnsi="Calibri"/>
          <w:b/>
          <w:bCs/>
          <w:i w:val="false"/>
          <w:iCs w:val="false"/>
          <w:color w:val="1D6B45"/>
          <w:sz w:val="23"/>
          <w:szCs w:val="23"/>
        </w:rPr>
        <w:t xml:space="preserve">Revision History</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300"/>
        <w:gridCol w:w="1600"/>
        <w:gridCol w:w="4650"/>
        <w:gridCol w:w="1800"/>
      </w:tblGrid>
      <w:tr>
        <w:tc>
          <w:tcPr>
            <w:tcW w:type="dxa" w:w="1300"/>
            <w:shd w:fill="14532D" w:color="auto" w:val="clear"/>
            <w:tcMar>
              <w:top w:type="dxa" w:w="100"/>
              <w:left w:type="dxa" w:w="120"/>
              <w:bottom w:type="dxa" w:w="100"/>
              <w:right w:type="dxa" w:w="120"/>
            </w:tcMar>
          </w:tcPr>
          <w:p>
            <w:r>
              <w:rPr>
                <w:rFonts w:ascii="Calibri" w:cs="Calibri" w:eastAsia="Calibri" w:hAnsi="Calibri"/>
                <w:b/>
                <w:bCs/>
                <w:color w:val="FFFFFF"/>
                <w:sz w:val="19"/>
                <w:szCs w:val="19"/>
              </w:rPr>
              <w:t xml:space="preserve">Version</w:t>
            </w:r>
          </w:p>
        </w:tc>
        <w:tc>
          <w:tcPr>
            <w:tcW w:type="dxa" w:w="1600"/>
            <w:shd w:fill="14532D" w:color="auto" w:val="clear"/>
            <w:tcMar>
              <w:top w:type="dxa" w:w="100"/>
              <w:left w:type="dxa" w:w="120"/>
              <w:bottom w:type="dxa" w:w="100"/>
              <w:right w:type="dxa" w:w="120"/>
            </w:tcMar>
          </w:tcPr>
          <w:p>
            <w:r>
              <w:rPr>
                <w:rFonts w:ascii="Calibri" w:cs="Calibri" w:eastAsia="Calibri" w:hAnsi="Calibri"/>
                <w:b/>
                <w:bCs/>
                <w:color w:val="FFFFFF"/>
                <w:sz w:val="19"/>
                <w:szCs w:val="19"/>
              </w:rPr>
              <w:t xml:space="preserve">Date</w:t>
            </w:r>
          </w:p>
        </w:tc>
        <w:tc>
          <w:tcPr>
            <w:tcW w:type="dxa" w:w="4650"/>
            <w:shd w:fill="14532D" w:color="auto" w:val="clear"/>
            <w:tcMar>
              <w:top w:type="dxa" w:w="100"/>
              <w:left w:type="dxa" w:w="120"/>
              <w:bottom w:type="dxa" w:w="100"/>
              <w:right w:type="dxa" w:w="120"/>
            </w:tcMar>
          </w:tcPr>
          <w:p>
            <w:r>
              <w:rPr>
                <w:rFonts w:ascii="Calibri" w:cs="Calibri" w:eastAsia="Calibri" w:hAnsi="Calibri"/>
                <w:b/>
                <w:bCs/>
                <w:color w:val="FFFFFF"/>
                <w:sz w:val="19"/>
                <w:szCs w:val="19"/>
              </w:rPr>
              <w:t xml:space="preserve">Summary of Changes</w:t>
            </w:r>
          </w:p>
        </w:tc>
        <w:tc>
          <w:tcPr>
            <w:tcW w:type="dxa" w:w="1800"/>
            <w:shd w:fill="14532D" w:color="auto" w:val="clear"/>
            <w:tcMar>
              <w:top w:type="dxa" w:w="100"/>
              <w:left w:type="dxa" w:w="120"/>
              <w:bottom w:type="dxa" w:w="100"/>
              <w:right w:type="dxa" w:w="120"/>
            </w:tcMar>
          </w:tcPr>
          <w:p>
            <w:r>
              <w:rPr>
                <w:rFonts w:ascii="Calibri" w:cs="Calibri" w:eastAsia="Calibri" w:hAnsi="Calibri"/>
                <w:b/>
                <w:bCs/>
                <w:color w:val="FFFFFF"/>
                <w:sz w:val="19"/>
                <w:szCs w:val="19"/>
              </w:rPr>
              <w:t xml:space="preserve">Approved By</w:t>
            </w:r>
          </w:p>
        </w:tc>
      </w:tr>
      <w:tr>
        <w:tc>
          <w:tcPr>
            <w:tcW w:type="dxa" w:w="1300"/>
            <w:shd w:fill="E8F1EC" w:color="auto" w:val="clear"/>
            <w:tcMar>
              <w:top w:type="dxa" w:w="100"/>
              <w:left w:type="dxa" w:w="120"/>
              <w:bottom w:type="dxa" w:w="100"/>
              <w:right w:type="dxa" w:w="120"/>
            </w:tcMar>
          </w:tcPr>
          <w:p>
            <w:r>
              <w:rPr>
                <w:rFonts w:ascii="Calibri" w:cs="Calibri" w:eastAsia="Calibri" w:hAnsi="Calibri"/>
                <w:b/>
                <w:bCs/>
                <w:color w:val="1A1A1A"/>
                <w:sz w:val="19"/>
                <w:szCs w:val="19"/>
              </w:rPr>
              <w:t xml:space="preserve">1.0</w:t>
            </w:r>
          </w:p>
        </w:tc>
        <w:tc>
          <w:tcPr>
            <w:tcW w:type="dxa" w:w="1600"/>
            <w:tcMar>
              <w:top w:type="dxa" w:w="100"/>
              <w:left w:type="dxa" w:w="120"/>
              <w:bottom w:type="dxa" w:w="100"/>
              <w:right w:type="dxa" w:w="120"/>
            </w:tcMar>
          </w:tcPr>
          <w:p>
            <w:r>
              <w:rPr>
                <w:rFonts w:ascii="Calibri" w:cs="Calibri" w:eastAsia="Calibri" w:hAnsi="Calibri"/>
                <w:b w:val="false"/>
                <w:bCs w:val="false"/>
                <w:color w:val="1A1A1A"/>
                <w:sz w:val="19"/>
                <w:szCs w:val="19"/>
              </w:rPr>
              <w:t xml:space="preserve">Sep 1, 2026</w:t>
            </w:r>
          </w:p>
        </w:tc>
        <w:tc>
          <w:tcPr>
            <w:tcW w:type="dxa" w:w="4650"/>
            <w:tcMar>
              <w:top w:type="dxa" w:w="100"/>
              <w:left w:type="dxa" w:w="120"/>
              <w:bottom w:type="dxa" w:w="100"/>
              <w:right w:type="dxa" w:w="120"/>
            </w:tcMar>
          </w:tcPr>
          <w:p>
            <w:r>
              <w:rPr>
                <w:rFonts w:ascii="Calibri" w:cs="Calibri" w:eastAsia="Calibri" w:hAnsi="Calibri"/>
                <w:b w:val="false"/>
                <w:bCs w:val="false"/>
                <w:color w:val="1A1A1A"/>
                <w:sz w:val="19"/>
                <w:szCs w:val="19"/>
              </w:rPr>
              <w:t xml:space="preserve">Initial issue of the handbook.</w:t>
            </w:r>
          </w:p>
        </w:tc>
        <w:tc>
          <w:tcPr>
            <w:tcW w:type="dxa" w:w="1800"/>
            <w:tcMar>
              <w:top w:type="dxa" w:w="100"/>
              <w:left w:type="dxa" w:w="120"/>
              <w:bottom w:type="dxa" w:w="100"/>
              <w:right w:type="dxa" w:w="120"/>
            </w:tcMar>
          </w:tcPr>
          <w:p>
            <w:r>
              <w:rPr>
                <w:rFonts w:ascii="Calibri" w:cs="Calibri" w:eastAsia="Calibri" w:hAnsi="Calibri"/>
                <w:b w:val="false"/>
                <w:bCs w:val="false"/>
                <w:color w:val="1A1A1A"/>
                <w:sz w:val="19"/>
                <w:szCs w:val="19"/>
              </w:rPr>
              <w:t xml:space="preserve">G. Morgan, CEO</w:t>
            </w:r>
          </w:p>
        </w:tc>
      </w:tr>
      <w:tr>
        <w:tc>
          <w:tcPr>
            <w:tcW w:type="dxa" w:w="1300"/>
            <w:shd w:fill="E8F1EC" w:color="auto" w:val="clear"/>
            <w:tcMar>
              <w:top w:type="dxa" w:w="100"/>
              <w:left w:type="dxa" w:w="120"/>
              <w:bottom w:type="dxa" w:w="100"/>
              <w:right w:type="dxa" w:w="120"/>
            </w:tcMar>
          </w:tcPr>
          <w:p>
            <w:r>
              <w:rPr>
                <w:rFonts w:ascii="Calibri" w:cs="Calibri" w:eastAsia="Calibri" w:hAnsi="Calibri"/>
                <w:b/>
                <w:bCs/>
                <w:color w:val="1A1A1A"/>
                <w:sz w:val="19"/>
                <w:szCs w:val="19"/>
              </w:rPr>
              <w:t xml:space="preserve">1.1</w:t>
            </w:r>
          </w:p>
        </w:tc>
        <w:tc>
          <w:tcPr>
            <w:tcW w:type="dxa" w:w="1600"/>
            <w:tcMar>
              <w:top w:type="dxa" w:w="100"/>
              <w:left w:type="dxa" w:w="120"/>
              <w:bottom w:type="dxa" w:w="100"/>
              <w:right w:type="dxa" w:w="120"/>
            </w:tcMar>
          </w:tcPr>
          <w:p>
            <w:r>
              <w:rPr>
                <w:rFonts w:ascii="Calibri" w:cs="Calibri" w:eastAsia="Calibri" w:hAnsi="Calibri"/>
                <w:b w:val="false"/>
                <w:bCs w:val="false"/>
                <w:color w:val="1A1A1A"/>
                <w:sz w:val="19"/>
                <w:szCs w:val="19"/>
              </w:rPr>
              <w:t xml:space="preserve">Sep 19, 2026</w:t>
            </w:r>
          </w:p>
        </w:tc>
        <w:tc>
          <w:tcPr>
            <w:tcW w:type="dxa" w:w="4650"/>
            <w:tcMar>
              <w:top w:type="dxa" w:w="100"/>
              <w:left w:type="dxa" w:w="120"/>
              <w:bottom w:type="dxa" w:w="100"/>
              <w:right w:type="dxa" w:w="120"/>
            </w:tcMar>
          </w:tcPr>
          <w:p>
            <w:r>
              <w:rPr>
                <w:rFonts w:ascii="Calibri" w:cs="Calibri" w:eastAsia="Calibri" w:hAnsi="Calibri"/>
                <w:b w:val="false"/>
                <w:bCs w:val="false"/>
                <w:color w:val="1A1A1A"/>
                <w:sz w:val="19"/>
                <w:szCs w:val="19"/>
              </w:rPr>
              <w:t xml:space="preserve">Added current Sales Compensation Schedule figures (commission rates and clawback), documented the Tutoring Credit bundle product, and added the admin process for Sales Agent marking and order attribution.</w:t>
            </w:r>
          </w:p>
        </w:tc>
        <w:tc>
          <w:tcPr>
            <w:tcW w:type="dxa" w:w="1800"/>
            <w:tcMar>
              <w:top w:type="dxa" w:w="100"/>
              <w:left w:type="dxa" w:w="120"/>
              <w:bottom w:type="dxa" w:w="100"/>
              <w:right w:type="dxa" w:w="120"/>
            </w:tcMar>
          </w:tcPr>
          <w:p>
            <w:r>
              <w:rPr>
                <w:rFonts w:ascii="Calibri" w:cs="Calibri" w:eastAsia="Calibri" w:hAnsi="Calibri"/>
                <w:b w:val="false"/>
                <w:bCs w:val="false"/>
                <w:color w:val="1A1A1A"/>
                <w:sz w:val="19"/>
                <w:szCs w:val="19"/>
              </w:rPr>
              <w:t xml:space="preserve">G. Morgan, CEO</w:t>
            </w:r>
          </w:p>
        </w:tc>
      </w:tr>
      <w:tr>
        <w:tc>
          <w:tcPr>
            <w:tcW w:type="dxa" w:w="1300"/>
            <w:shd w:fill="E8F1EC" w:color="auto" w:val="clear"/>
            <w:tcMar>
              <w:top w:type="dxa" w:w="100"/>
              <w:left w:type="dxa" w:w="120"/>
              <w:bottom w:type="dxa" w:w="100"/>
              <w:right w:type="dxa" w:w="120"/>
            </w:tcMar>
          </w:tcPr>
          <w:p>
            <w:r>
              <w:rPr>
                <w:rFonts w:ascii="Calibri" w:cs="Calibri" w:eastAsia="Calibri" w:hAnsi="Calibri"/>
                <w:b/>
                <w:bCs/>
                <w:color w:val="1A1A1A"/>
                <w:sz w:val="19"/>
                <w:szCs w:val="19"/>
              </w:rPr>
              <w:t xml:space="preserve">1.2</w:t>
            </w:r>
          </w:p>
        </w:tc>
        <w:tc>
          <w:tcPr>
            <w:tcW w:type="dxa" w:w="1600"/>
            <w:tcMar>
              <w:top w:type="dxa" w:w="100"/>
              <w:left w:type="dxa" w:w="120"/>
              <w:bottom w:type="dxa" w:w="100"/>
              <w:right w:type="dxa" w:w="120"/>
            </w:tcMar>
          </w:tcPr>
          <w:p>
            <w:r>
              <w:rPr>
                <w:rFonts w:ascii="Calibri" w:cs="Calibri" w:eastAsia="Calibri" w:hAnsi="Calibri"/>
                <w:b w:val="false"/>
                <w:bCs w:val="false"/>
                <w:color w:val="1A1A1A"/>
                <w:sz w:val="19"/>
                <w:szCs w:val="19"/>
              </w:rPr>
              <w:t xml:space="preserve">Sep 24, 2026</w:t>
            </w:r>
          </w:p>
        </w:tc>
        <w:tc>
          <w:tcPr>
            <w:tcW w:type="dxa" w:w="4650"/>
            <w:tcMar>
              <w:top w:type="dxa" w:w="100"/>
              <w:left w:type="dxa" w:w="120"/>
              <w:bottom w:type="dxa" w:w="100"/>
              <w:right w:type="dxa" w:w="120"/>
            </w:tcMar>
          </w:tcPr>
          <w:p>
            <w:r>
              <w:rPr>
                <w:rFonts w:ascii="Calibri" w:cs="Calibri" w:eastAsia="Calibri" w:hAnsi="Calibri"/>
                <w:b w:val="false"/>
                <w:bCs w:val="false"/>
                <w:color w:val="1A1A1A"/>
                <w:sz w:val="19"/>
                <w:szCs w:val="19"/>
              </w:rPr>
              <w:t xml:space="preserve">Fixed the stale general-support contact address in Appendix A; updated §8 to reflect that multi-factor authentication is now mandatory (not optional) on Company systems; and added Administrative Staff Training Module guidance for the Payroll module, Referral/Rewards program administration, and Pay-a-Different-Amount payment verification.</w:t>
            </w:r>
          </w:p>
        </w:tc>
        <w:tc>
          <w:tcPr>
            <w:tcW w:type="dxa" w:w="1800"/>
            <w:tcMar>
              <w:top w:type="dxa" w:w="100"/>
              <w:left w:type="dxa" w:w="120"/>
              <w:bottom w:type="dxa" w:w="100"/>
              <w:right w:type="dxa" w:w="120"/>
            </w:tcMar>
          </w:tcPr>
          <w:p>
            <w:r>
              <w:rPr>
                <w:rFonts w:ascii="Calibri" w:cs="Calibri" w:eastAsia="Calibri" w:hAnsi="Calibri"/>
                <w:b w:val="false"/>
                <w:bCs w:val="false"/>
                <w:color w:val="1A1A1A"/>
                <w:sz w:val="19"/>
                <w:szCs w:val="19"/>
              </w:rPr>
              <w:t xml:space="preserve">G. Morgan, CEO</w:t>
            </w:r>
          </w:p>
        </w:tc>
      </w:tr>
      <w:tr>
        <w:tc>
          <w:tcPr>
            <w:tcW w:type="dxa" w:w="1300"/>
            <w:shd w:fill="E8F1EC" w:color="auto" w:val="clear"/>
            <w:tcMar>
              <w:top w:type="dxa" w:w="100"/>
              <w:left w:type="dxa" w:w="120"/>
              <w:bottom w:type="dxa" w:w="100"/>
              <w:right w:type="dxa" w:w="120"/>
            </w:tcMar>
          </w:tcPr>
          <w:p>
            <w:r>
              <w:rPr>
                <w:rFonts w:ascii="Calibri" w:cs="Calibri" w:eastAsia="Calibri" w:hAnsi="Calibri"/>
                <w:b/>
                <w:bCs/>
                <w:color w:val="1A1A1A"/>
                <w:sz w:val="19"/>
                <w:szCs w:val="19"/>
              </w:rPr>
              <w:t xml:space="preserve">1.3</w:t>
            </w:r>
          </w:p>
        </w:tc>
        <w:tc>
          <w:tcPr>
            <w:tcW w:type="dxa" w:w="1600"/>
            <w:tcMar>
              <w:top w:type="dxa" w:w="100"/>
              <w:left w:type="dxa" w:w="120"/>
              <w:bottom w:type="dxa" w:w="100"/>
              <w:right w:type="dxa" w:w="120"/>
            </w:tcMar>
          </w:tcPr>
          <w:p>
            <w:r>
              <w:rPr>
                <w:rFonts w:ascii="Calibri" w:cs="Calibri" w:eastAsia="Calibri" w:hAnsi="Calibri"/>
                <w:b w:val="false"/>
                <w:bCs w:val="false"/>
                <w:color w:val="1A1A1A"/>
                <w:sz w:val="19"/>
                <w:szCs w:val="19"/>
              </w:rPr>
              <w:t xml:space="preserve">Sep 26, 2026</w:t>
            </w:r>
          </w:p>
        </w:tc>
        <w:tc>
          <w:tcPr>
            <w:tcW w:type="dxa" w:w="4650"/>
            <w:tcMar>
              <w:top w:type="dxa" w:w="100"/>
              <w:left w:type="dxa" w:w="120"/>
              <w:bottom w:type="dxa" w:w="100"/>
              <w:right w:type="dxa" w:w="120"/>
            </w:tcMar>
          </w:tcPr>
          <w:p>
            <w:r>
              <w:rPr>
                <w:rFonts w:ascii="Calibri" w:cs="Calibri" w:eastAsia="Calibri" w:hAnsi="Calibri"/>
                <w:b w:val="false"/>
                <w:bCs w:val="false"/>
                <w:color w:val="1A1A1A"/>
                <w:sz w:val="19"/>
                <w:szCs w:val="19"/>
              </w:rPr>
              <w:t xml:space="preserve">Added the Community Partner Program (§14.14): how Administration onboards a partner organization, tracks its sign-ups by code, handles flagged sign-ups, and runs its monthly payout — alongside the new Partners tab and Partner Program documents in the Admin Dashboard.</w:t>
            </w:r>
          </w:p>
        </w:tc>
        <w:tc>
          <w:tcPr>
            <w:tcW w:type="dxa" w:w="1800"/>
            <w:tcMar>
              <w:top w:type="dxa" w:w="100"/>
              <w:left w:type="dxa" w:w="120"/>
              <w:bottom w:type="dxa" w:w="100"/>
              <w:right w:type="dxa" w:w="120"/>
            </w:tcMar>
          </w:tcPr>
          <w:p>
            <w:r>
              <w:rPr>
                <w:rFonts w:ascii="Calibri" w:cs="Calibri" w:eastAsia="Calibri" w:hAnsi="Calibri"/>
                <w:b w:val="false"/>
                <w:bCs w:val="false"/>
                <w:color w:val="1A1A1A"/>
                <w:sz w:val="19"/>
                <w:szCs w:val="19"/>
              </w:rPr>
              <w:t xml:space="preserve">G. Morgan, CEO</w:t>
            </w:r>
          </w:p>
        </w:tc>
      </w:tr>
      <w:tr>
        <w:tc>
          <w:tcPr>
            <w:tcW w:type="dxa" w:w="1300"/>
            <w:shd w:fill="E8F1EC" w:color="auto" w:val="clear"/>
            <w:tcMar>
              <w:top w:type="dxa" w:w="100"/>
              <w:left w:type="dxa" w:w="120"/>
              <w:bottom w:type="dxa" w:w="100"/>
              <w:right w:type="dxa" w:w="120"/>
            </w:tcMar>
          </w:tcPr>
          <w:p>
            <w:r>
              <w:rPr>
                <w:rFonts w:ascii="Calibri" w:cs="Calibri" w:eastAsia="Calibri" w:hAnsi="Calibri"/>
                <w:b/>
                <w:bCs/>
                <w:color w:val="1A1A1A"/>
                <w:sz w:val="19"/>
                <w:szCs w:val="19"/>
              </w:rPr>
              <w:t xml:space="preserve">1.4</w:t>
            </w:r>
          </w:p>
        </w:tc>
        <w:tc>
          <w:tcPr>
            <w:tcW w:type="dxa" w:w="1600"/>
            <w:tcMar>
              <w:top w:type="dxa" w:w="100"/>
              <w:left w:type="dxa" w:w="120"/>
              <w:bottom w:type="dxa" w:w="100"/>
              <w:right w:type="dxa" w:w="120"/>
            </w:tcMar>
          </w:tcPr>
          <w:p>
            <w:r>
              <w:rPr>
                <w:rFonts w:ascii="Calibri" w:cs="Calibri" w:eastAsia="Calibri" w:hAnsi="Calibri"/>
                <w:b w:val="false"/>
                <w:bCs w:val="false"/>
                <w:color w:val="1A1A1A"/>
                <w:sz w:val="19"/>
                <w:szCs w:val="19"/>
              </w:rPr>
              <w:t xml:space="preserve">Sep 26, 2026</w:t>
            </w:r>
          </w:p>
        </w:tc>
        <w:tc>
          <w:tcPr>
            <w:tcW w:type="dxa" w:w="4650"/>
            <w:tcMar>
              <w:top w:type="dxa" w:w="100"/>
              <w:left w:type="dxa" w:w="120"/>
              <w:bottom w:type="dxa" w:w="100"/>
              <w:right w:type="dxa" w:w="120"/>
            </w:tcMar>
          </w:tcPr>
          <w:p>
            <w:r>
              <w:rPr>
                <w:rFonts w:ascii="Calibri" w:cs="Calibri" w:eastAsia="Calibri" w:hAnsi="Calibri"/>
                <w:b w:val="false"/>
                <w:bCs w:val="false"/>
                <w:color w:val="1A1A1A"/>
                <w:sz w:val="19"/>
                <w:szCs w:val="19"/>
              </w:rPr>
              <w:t xml:space="preserve">Added the Demo Account Program (§14.15): rotating full-access preview logins for prospective Community Partner organizations, built on the existing QA Reviewer role plus a new is_demo_account flag that extends single-session enforcement so a shared login can't be used by many people at once — alongside the new 🧪 Demo Account toggle in the Users tab and the updated Outreach Letter and WhatsApp draft, which now invite prospects to request a demo login instead of printing credentials.</w:t>
            </w:r>
          </w:p>
        </w:tc>
        <w:tc>
          <w:tcPr>
            <w:tcW w:type="dxa" w:w="1800"/>
            <w:tcMar>
              <w:top w:type="dxa" w:w="100"/>
              <w:left w:type="dxa" w:w="120"/>
              <w:bottom w:type="dxa" w:w="100"/>
              <w:right w:type="dxa" w:w="120"/>
            </w:tcMar>
          </w:tcPr>
          <w:p>
            <w:r>
              <w:rPr>
                <w:rFonts w:ascii="Calibri" w:cs="Calibri" w:eastAsia="Calibri" w:hAnsi="Calibri"/>
                <w:b w:val="false"/>
                <w:bCs w:val="false"/>
                <w:color w:val="1A1A1A"/>
                <w:sz w:val="19"/>
                <w:szCs w:val="19"/>
              </w:rPr>
              <w:t xml:space="preserve">G. Morgan, CEO</w:t>
            </w:r>
          </w:p>
        </w:tc>
      </w:tr>
      <w:tr>
        <w:tc>
          <w:tcPr>
            <w:tcW w:type="dxa" w:w="1300"/>
            <w:shd w:fill="E8F1EC" w:color="auto" w:val="clear"/>
            <w:tcMar>
              <w:top w:type="dxa" w:w="100"/>
              <w:left w:type="dxa" w:w="120"/>
              <w:bottom w:type="dxa" w:w="100"/>
              <w:right w:type="dxa" w:w="120"/>
            </w:tcMar>
          </w:tcPr>
          <w:p>
            <w:r>
              <w:rPr>
                <w:rFonts w:ascii="Calibri" w:cs="Calibri" w:eastAsia="Calibri" w:hAnsi="Calibri"/>
                <w:b/>
                <w:bCs/>
                <w:color w:val="1A1A1A"/>
                <w:sz w:val="19"/>
                <w:szCs w:val="19"/>
              </w:rPr>
              <w:t>1.5</w:t>
            </w:r>
          </w:p>
        </w:tc>
        <w:tc>
          <w:tcPr>
            <w:tcW w:type="dxa" w:w="1600"/>
            <w:tcMar>
              <w:top w:type="dxa" w:w="100"/>
              <w:left w:type="dxa" w:w="120"/>
              <w:bottom w:type="dxa" w:w="100"/>
              <w:right w:type="dxa" w:w="120"/>
            </w:tcMar>
          </w:tcPr>
          <w:p>
            <w:r>
              <w:rPr>
                <w:rFonts w:ascii="Calibri" w:cs="Calibri" w:eastAsia="Calibri" w:hAnsi="Calibri"/>
                <w:b w:val="false"/>
                <w:bCs w:val="false"/>
                <w:color w:val="1A1A1A"/>
                <w:sz w:val="19"/>
                <w:szCs w:val="19"/>
              </w:rPr>
              <w:t>Sep 27, 2026</w:t>
            </w:r>
          </w:p>
        </w:tc>
        <w:tc>
          <w:tcPr>
            <w:tcW w:type="dxa" w:w="4650"/>
            <w:tcMar>
              <w:top w:type="dxa" w:w="100"/>
              <w:left w:type="dxa" w:w="120"/>
              <w:bottom w:type="dxa" w:w="100"/>
              <w:right w:type="dxa" w:w="120"/>
            </w:tcMar>
          </w:tcPr>
          <w:p>
            <w:r>
              <w:rPr>
                <w:rFonts w:ascii="Calibri" w:cs="Calibri" w:eastAsia="Calibri" w:hAnsi="Calibri"/>
                <w:b w:val="false"/>
                <w:bCs w:val="false"/>
                <w:color w:val="1A1A1A"/>
                <w:sz w:val="19"/>
                <w:szCs w:val="19"/>
              </w:rPr>
              <w:t>Added the Outreach Tracker’s one-tap WhatsApp/email/letter send (built on saved Message Templates), cloud-filed documents, and a Partner Code column under §14.14, and clarified in that section and in the Community Partner Program Terms &amp; Enrollment Agreement that each qualifying sign-up earns a one-time incentive, not a recurring monthly or annual payment.</w:t>
            </w:r>
          </w:p>
        </w:tc>
        <w:tc>
          <w:tcPr>
            <w:tcW w:type="dxa" w:w="1800"/>
            <w:tcMar>
              <w:top w:type="dxa" w:w="100"/>
              <w:left w:type="dxa" w:w="120"/>
              <w:bottom w:type="dxa" w:w="100"/>
              <w:right w:type="dxa" w:w="120"/>
            </w:tcMar>
          </w:tcPr>
          <w:p>
            <w:r>
              <w:rPr>
                <w:rFonts w:ascii="Calibri" w:cs="Calibri" w:eastAsia="Calibri" w:hAnsi="Calibri"/>
                <w:b w:val="false"/>
                <w:bCs w:val="false"/>
                <w:color w:val="1A1A1A"/>
                <w:sz w:val="19"/>
                <w:szCs w:val="19"/>
              </w:rPr>
              <w:t>G. Morgan, CEO</w:t>
            </w:r>
          </w:p>
        </w:tc>
      </w:tr>
      <w:tr>
        <w:tc>
          <w:tcPr>
            <w:tcW w:type="dxa" w:w="1300"/>
            <w:shd w:fill="E8F1EC" w:color="auto" w:val="clear"/>
            <w:tcMar>
              <w:top w:type="dxa" w:w="100"/>
              <w:left w:type="dxa" w:w="120"/>
              <w:bottom w:type="dxa" w:w="100"/>
              <w:right w:type="dxa" w:w="120"/>
            </w:tcMar>
          </w:tcPr>
          <w:p>
            <w:r>
              <w:rPr>
                <w:rFonts w:ascii="Calibri" w:cs="Calibri" w:eastAsia="Calibri" w:hAnsi="Calibri"/>
                <w:b/>
                <w:bCs/>
                <w:color w:val="1A1A1A"/>
                <w:sz w:val="19"/>
                <w:szCs w:val="19"/>
              </w:rPr>
              <w:t xml:space="preserve">1.6</w:t>
            </w:r>
          </w:p>
        </w:tc>
        <w:tc>
          <w:tcPr>
            <w:tcW w:type="dxa" w:w="1600"/>
            <w:tcMar>
              <w:top w:type="dxa" w:w="100"/>
              <w:left w:type="dxa" w:w="120"/>
              <w:bottom w:type="dxa" w:w="100"/>
              <w:right w:type="dxa" w:w="120"/>
            </w:tcMar>
          </w:tcPr>
          <w:p>
            <w:r>
              <w:rPr>
                <w:rFonts w:ascii="Calibri" w:cs="Calibri" w:eastAsia="Calibri" w:hAnsi="Calibri"/>
                <w:b w:val="false"/>
                <w:bCs w:val="false"/>
                <w:color w:val="1A1A1A"/>
                <w:sz w:val="19"/>
                <w:szCs w:val="19"/>
              </w:rPr>
              <w:t xml:space="preserve">Oct 6, 2026</w:t>
            </w:r>
          </w:p>
        </w:tc>
        <w:tc>
          <w:tcPr>
            <w:tcW w:type="dxa" w:w="4650"/>
            <w:tcMar>
              <w:top w:type="dxa" w:w="100"/>
              <w:left w:type="dxa" w:w="120"/>
              <w:bottom w:type="dxa" w:w="100"/>
              <w:right w:type="dxa" w:w="120"/>
            </w:tcMar>
          </w:tcPr>
          <w:p>
            <w:r>
              <w:rPr>
                <w:rFonts w:ascii="Calibri" w:cs="Calibri" w:eastAsia="Calibri" w:hAnsi="Calibri"/>
                <w:b w:val="false"/>
                <w:bCs w:val="false"/>
                <w:color w:val="1A1A1A"/>
                <w:sz w:val="19"/>
                <w:szCs w:val="19"/>
              </w:rPr>
              <w:t xml:space="preserve">Updated for Grades 7–13 and the three-level (Beginner, Intermediate, Advanced) lesson structure, with current content figures (§1, §13.2); added the Grades 12–13 curriculum-alignment guidance (§13.2); new plan and Tutoring Credit prices from October 6, 2026 (§13.3); cash/in-person payment suspended (§13.4, §14.2, §14.3); new contact addresses, info.team@ and support.team@eduja.org (Appendix A); and the new “Referral or Partner Code” box on the registration form, with admin tools to add a referral or partner sign-up by hand (§14.12, §14.14).</w:t>
            </w:r>
          </w:p>
        </w:tc>
        <w:tc>
          <w:tcPr>
            <w:tcW w:type="dxa" w:w="1800"/>
            <w:tcMar>
              <w:top w:type="dxa" w:w="100"/>
              <w:left w:type="dxa" w:w="120"/>
              <w:bottom w:type="dxa" w:w="100"/>
              <w:right w:type="dxa" w:w="120"/>
            </w:tcMar>
          </w:tcPr>
          <w:p>
            <w:r>
              <w:rPr>
                <w:rFonts w:ascii="Calibri" w:cs="Calibri" w:eastAsia="Calibri" w:hAnsi="Calibri"/>
                <w:b w:val="false"/>
                <w:bCs w:val="false"/>
                <w:color w:val="1A1A1A"/>
                <w:sz w:val="19"/>
                <w:szCs w:val="19"/>
              </w:rPr>
              <w:t xml:space="preserve">G. Morgan, CEO</w:t>
            </w:r>
          </w:p>
        </w:tc>
      </w:tr>
    </w:tbl>
    <w:p>
      <w:pPr>
        <w:spacing w:after="160"/>
      </w:pPr>
    </w:p>
    <w:p>
      <w:pPr>
        <w:spacing w:after="160" w:line="276"/>
        <w:jc w:val="both"/>
      </w:pPr>
      <w:r>
        <w:rPr>
          <w:rFonts w:ascii="Calibri" w:cs="Calibri" w:eastAsia="Calibri" w:hAnsi="Calibri"/>
          <w:b/>
          <w:bCs/>
          <w:color w:val="1A1A1A"/>
          <w:sz w:val="21"/>
          <w:szCs w:val="21"/>
        </w:rPr>
        <w:t xml:space="preserve">How this handbook is kept current: </w:t>
      </w:r>
      <w:r>
        <w:rPr>
          <w:rFonts w:ascii="Calibri" w:cs="Calibri" w:eastAsia="Calibri" w:hAnsi="Calibri"/>
          <w:color w:val="1A1A1A"/>
          <w:sz w:val="21"/>
          <w:szCs w:val="21"/>
        </w:rPr>
        <w:t xml:space="preserve">This is a living document. It is formally reviewed at least once a year and updated whenever our policies, our product, or the law changes in a way that affects staff. Every staff member is notified when a new version is issued and, where a change is material, will be asked to re-read and re-sign the affected sections (see Part IV, §19).</w:t>
      </w:r>
    </w:p>
    <w:p>
      <w:r>
        <w:br w:type="page"/>
      </w:r>
    </w:p>
    <w:p>
      <w:pPr>
        <w:pStyle w:val="Heading1"/>
        <w:spacing w:after="240"/>
      </w:pPr>
      <w:r>
        <w:rPr>
          <w:rFonts w:ascii="Cambria" w:cs="Cambria" w:eastAsia="Cambria" w:hAnsi="Cambria"/>
          <w:b/>
          <w:bCs/>
          <w:color w:val="14532D"/>
          <w:sz w:val="32"/>
          <w:szCs w:val="32"/>
        </w:rPr>
        <w:t xml:space="preserve">Table of Contents</w:t>
      </w:r>
    </w:p>
    <w:p>
      <w:pPr>
        <w:spacing w:after="80" w:before="220"/>
      </w:pPr>
      <w:r>
        <w:rPr>
          <w:rFonts w:ascii="Calibri" w:cs="Calibri" w:eastAsia="Calibri" w:hAnsi="Calibri"/>
          <w:b/>
          <w:bCs/>
          <w:color w:val="14532D"/>
          <w:sz w:val="22"/>
          <w:szCs w:val="22"/>
        </w:rPr>
        <w:t>PART I — ABOUT THIS HANDBOOK</w:t>
        <w:tab/>
        <w:t>6</w:t>
      </w:r>
    </w:p>
    <w:p>
      <w:pPr>
        <w:spacing w:after="90" w:before="0"/>
        <w:ind w:left="260"/>
      </w:pPr>
      <w:r>
        <w:rPr>
          <w:rFonts w:ascii="Calibri" w:cs="Calibri" w:eastAsia="Calibri" w:hAnsi="Calibri"/>
          <w:b w:val="false"/>
          <w:bCs w:val="false"/>
          <w:color w:val="1A1A1A"/>
          <w:sz w:val="21"/>
          <w:szCs w:val="21"/>
        </w:rPr>
        <w:t>1. About Ohana Jamaica Limited &amp; EduJA</w:t>
        <w:tab/>
        <w:t>6</w:t>
      </w:r>
    </w:p>
    <w:p>
      <w:pPr>
        <w:spacing w:after="90" w:before="0"/>
        <w:ind w:left="260"/>
      </w:pPr>
      <w:r>
        <w:rPr>
          <w:rFonts w:ascii="Calibri" w:cs="Calibri" w:eastAsia="Calibri" w:hAnsi="Calibri"/>
          <w:b w:val="false"/>
          <w:bCs w:val="false"/>
          <w:color w:val="1A1A1A"/>
          <w:sz w:val="21"/>
          <w:szCs w:val="21"/>
        </w:rPr>
        <w:t>2. Purpose &amp; Scope of This Handbook</w:t>
        <w:tab/>
        <w:t>6</w:t>
      </w:r>
    </w:p>
    <w:p>
      <w:pPr>
        <w:spacing w:after="90" w:before="0"/>
        <w:ind w:left="260"/>
      </w:pPr>
      <w:r>
        <w:rPr>
          <w:rFonts w:ascii="Calibri" w:cs="Calibri" w:eastAsia="Calibri" w:hAnsi="Calibri"/>
          <w:b w:val="false"/>
          <w:bCs w:val="false"/>
          <w:color w:val="1A1A1A"/>
          <w:sz w:val="21"/>
          <w:szCs w:val="21"/>
        </w:rPr>
        <w:t>3. How to Use This Handbook &amp; Periodic Review Policy</w:t>
        <w:tab/>
        <w:t>7</w:t>
      </w:r>
    </w:p>
    <w:p>
      <w:pPr>
        <w:spacing w:after="80" w:before="220"/>
      </w:pPr>
      <w:r>
        <w:rPr>
          <w:rFonts w:ascii="Calibri" w:cs="Calibri" w:eastAsia="Calibri" w:hAnsi="Calibri"/>
          <w:b/>
          <w:bCs/>
          <w:color w:val="14532D"/>
          <w:sz w:val="22"/>
          <w:szCs w:val="22"/>
        </w:rPr>
        <w:t>PART II — COMPANY-WIDE POLICIES</w:t>
        <w:tab/>
        <w:t>8</w:t>
      </w:r>
    </w:p>
    <w:p>
      <w:pPr>
        <w:spacing w:after="90" w:before="0"/>
        <w:ind w:left="260"/>
      </w:pPr>
      <w:r>
        <w:rPr>
          <w:rFonts w:ascii="Calibri" w:cs="Calibri" w:eastAsia="Calibri" w:hAnsi="Calibri"/>
          <w:b w:val="false"/>
          <w:bCs w:val="false"/>
          <w:color w:val="1A1A1A"/>
          <w:sz w:val="21"/>
          <w:szCs w:val="21"/>
        </w:rPr>
        <w:t>4. Code of Conduct &amp; Professional Standards</w:t>
        <w:tab/>
        <w:t>8</w:t>
      </w:r>
    </w:p>
    <w:p>
      <w:pPr>
        <w:spacing w:after="90" w:before="0"/>
        <w:ind w:left="260"/>
      </w:pPr>
      <w:r>
        <w:rPr>
          <w:rFonts w:ascii="Calibri" w:cs="Calibri" w:eastAsia="Calibri" w:hAnsi="Calibri"/>
          <w:b w:val="false"/>
          <w:bCs w:val="false"/>
          <w:color w:val="1A1A1A"/>
          <w:sz w:val="21"/>
          <w:szCs w:val="21"/>
        </w:rPr>
        <w:t>5. Confidentiality &amp; Non-Disclosure</w:t>
        <w:tab/>
        <w:t>8</w:t>
      </w:r>
    </w:p>
    <w:p>
      <w:pPr>
        <w:spacing w:after="90" w:before="0"/>
        <w:ind w:left="260"/>
      </w:pPr>
      <w:r>
        <w:rPr>
          <w:rFonts w:ascii="Calibri" w:cs="Calibri" w:eastAsia="Calibri" w:hAnsi="Calibri"/>
          <w:b w:val="false"/>
          <w:bCs w:val="false"/>
          <w:color w:val="1A1A1A"/>
          <w:sz w:val="21"/>
          <w:szCs w:val="21"/>
        </w:rPr>
        <w:t>6. Data Privacy &amp; Protection Policy</w:t>
        <w:tab/>
        <w:t>10</w:t>
      </w:r>
    </w:p>
    <w:p>
      <w:pPr>
        <w:spacing w:after="90" w:before="0"/>
        <w:ind w:left="260"/>
      </w:pPr>
      <w:r>
        <w:rPr>
          <w:rFonts w:ascii="Calibri" w:cs="Calibri" w:eastAsia="Calibri" w:hAnsi="Calibri"/>
          <w:b w:val="false"/>
          <w:bCs w:val="false"/>
          <w:color w:val="1A1A1A"/>
          <w:sz w:val="21"/>
          <w:szCs w:val="21"/>
        </w:rPr>
        <w:t>7. Acceptable Use of Company Systems &amp; Site-Generated Data</w:t>
        <w:tab/>
        <w:t>13</w:t>
      </w:r>
    </w:p>
    <w:p>
      <w:pPr>
        <w:spacing w:after="90" w:before="0"/>
        <w:ind w:left="260"/>
      </w:pPr>
      <w:r>
        <w:rPr>
          <w:rFonts w:ascii="Calibri" w:cs="Calibri" w:eastAsia="Calibri" w:hAnsi="Calibri"/>
          <w:b w:val="false"/>
          <w:bCs w:val="false"/>
          <w:color w:val="1A1A1A"/>
          <w:sz w:val="21"/>
          <w:szCs w:val="21"/>
        </w:rPr>
        <w:t>8. Information Security Basics</w:t>
        <w:tab/>
        <w:t>13</w:t>
      </w:r>
    </w:p>
    <w:p>
      <w:pPr>
        <w:spacing w:after="90" w:before="0"/>
        <w:ind w:left="260"/>
      </w:pPr>
      <w:r>
        <w:rPr>
          <w:rFonts w:ascii="Calibri" w:cs="Calibri" w:eastAsia="Calibri" w:hAnsi="Calibri"/>
          <w:b w:val="false"/>
          <w:bCs w:val="false"/>
          <w:color w:val="1A1A1A"/>
          <w:sz w:val="21"/>
          <w:szCs w:val="21"/>
        </w:rPr>
        <w:t>9. Anti-Harassment, Anti-Discrimination &amp; Safeguarding Policy</w:t>
        <w:tab/>
        <w:t>15</w:t>
      </w:r>
    </w:p>
    <w:p>
      <w:pPr>
        <w:spacing w:after="90" w:before="0"/>
        <w:ind w:left="260"/>
      </w:pPr>
      <w:r>
        <w:rPr>
          <w:rFonts w:ascii="Calibri" w:cs="Calibri" w:eastAsia="Calibri" w:hAnsi="Calibri"/>
          <w:b w:val="false"/>
          <w:bCs w:val="false"/>
          <w:color w:val="1A1A1A"/>
          <w:sz w:val="21"/>
          <w:szCs w:val="21"/>
        </w:rPr>
        <w:t>10. Workplace Policies</w:t>
        <w:tab/>
        <w:t>16</w:t>
      </w:r>
    </w:p>
    <w:p>
      <w:pPr>
        <w:spacing w:after="90" w:before="0"/>
        <w:ind w:left="260"/>
      </w:pPr>
      <w:r>
        <w:rPr>
          <w:rFonts w:ascii="Calibri" w:cs="Calibri" w:eastAsia="Calibri" w:hAnsi="Calibri"/>
          <w:b w:val="false"/>
          <w:bCs w:val="false"/>
          <w:color w:val="1A1A1A"/>
          <w:sz w:val="21"/>
          <w:szCs w:val="21"/>
        </w:rPr>
        <w:t>11. Health &amp; Safety</w:t>
        <w:tab/>
        <w:t>18</w:t>
      </w:r>
    </w:p>
    <w:p>
      <w:pPr>
        <w:spacing w:after="90" w:before="0"/>
        <w:ind w:left="260"/>
      </w:pPr>
      <w:r>
        <w:rPr>
          <w:rFonts w:ascii="Calibri" w:cs="Calibri" w:eastAsia="Calibri" w:hAnsi="Calibri"/>
          <w:b w:val="false"/>
          <w:bCs w:val="false"/>
          <w:color w:val="1A1A1A"/>
          <w:sz w:val="21"/>
          <w:szCs w:val="21"/>
        </w:rPr>
        <w:t>12. Use of Company Equipment &amp; Communication Channels</w:t>
        <w:tab/>
        <w:t>18</w:t>
      </w:r>
    </w:p>
    <w:p>
      <w:pPr>
        <w:spacing w:after="80" w:before="220"/>
      </w:pPr>
      <w:r>
        <w:rPr>
          <w:rFonts w:ascii="Calibri" w:cs="Calibri" w:eastAsia="Calibri" w:hAnsi="Calibri"/>
          <w:b/>
          <w:bCs/>
          <w:color w:val="14532D"/>
          <w:sz w:val="22"/>
          <w:szCs w:val="22"/>
        </w:rPr>
        <w:t>PART III — ROLE-SPECIFIC TRAINING</w:t>
        <w:tab/>
        <w:t>19</w:t>
      </w:r>
    </w:p>
    <w:p>
      <w:pPr>
        <w:spacing w:after="90" w:before="0"/>
        <w:ind w:left="260"/>
      </w:pPr>
      <w:r>
        <w:rPr>
          <w:rFonts w:ascii="Calibri" w:cs="Calibri" w:eastAsia="Calibri" w:hAnsi="Calibri"/>
          <w:b w:val="false"/>
          <w:bCs w:val="false"/>
          <w:color w:val="1A1A1A"/>
          <w:sz w:val="21"/>
          <w:szCs w:val="21"/>
        </w:rPr>
        <w:t>13. Sales Associate Training Module</w:t>
        <w:tab/>
        <w:t>19</w:t>
      </w:r>
    </w:p>
    <w:p>
      <w:pPr>
        <w:spacing w:after="90" w:before="0"/>
        <w:ind w:left="260"/>
      </w:pPr>
      <w:r>
        <w:rPr>
          <w:rFonts w:ascii="Calibri" w:cs="Calibri" w:eastAsia="Calibri" w:hAnsi="Calibri"/>
          <w:b w:val="false"/>
          <w:bCs w:val="false"/>
          <w:color w:val="1A1A1A"/>
          <w:sz w:val="21"/>
          <w:szCs w:val="21"/>
        </w:rPr>
        <w:t>14. Administrative Staff Training Module</w:t>
        <w:tab/>
        <w:t>22</w:t>
      </w:r>
    </w:p>
    <w:p>
      <w:pPr>
        <w:spacing w:after="90" w:before="0"/>
        <w:ind w:left="260"/>
      </w:pPr>
      <w:r>
        <w:rPr>
          <w:rFonts w:ascii="Calibri" w:cs="Calibri" w:eastAsia="Calibri" w:hAnsi="Calibri"/>
          <w:b w:val="false"/>
          <w:bCs w:val="false"/>
          <w:color w:val="1A1A1A"/>
          <w:sz w:val="21"/>
          <w:szCs w:val="21"/>
        </w:rPr>
        <w:t>15. Teacher Training Module</w:t>
        <w:tab/>
        <w:t>27</w:t>
      </w:r>
    </w:p>
    <w:p>
      <w:pPr>
        <w:spacing w:after="80" w:before="220"/>
      </w:pPr>
      <w:r>
        <w:rPr>
          <w:rFonts w:ascii="Calibri" w:cs="Calibri" w:eastAsia="Calibri" w:hAnsi="Calibri"/>
          <w:b/>
          <w:bCs/>
          <w:color w:val="14532D"/>
          <w:sz w:val="22"/>
          <w:szCs w:val="22"/>
        </w:rPr>
        <w:t>PART IV — COMPLIANCE, ACKNOWLEDGMENT &amp; SIGN-OFF</w:t>
        <w:tab/>
        <w:t>29</w:t>
      </w:r>
    </w:p>
    <w:p>
      <w:pPr>
        <w:spacing w:after="90" w:before="0"/>
        <w:ind w:left="260"/>
      </w:pPr>
      <w:r>
        <w:rPr>
          <w:rFonts w:ascii="Calibri" w:cs="Calibri" w:eastAsia="Calibri" w:hAnsi="Calibri"/>
          <w:b w:val="false"/>
          <w:bCs w:val="false"/>
          <w:color w:val="1A1A1A"/>
          <w:sz w:val="21"/>
          <w:szCs w:val="21"/>
        </w:rPr>
        <w:t>16. Summary of Key Obligations</w:t>
        <w:tab/>
        <w:t>29</w:t>
      </w:r>
    </w:p>
    <w:p>
      <w:pPr>
        <w:spacing w:after="90" w:before="0"/>
        <w:ind w:left="260"/>
      </w:pPr>
      <w:r>
        <w:rPr>
          <w:rFonts w:ascii="Calibri" w:cs="Calibri" w:eastAsia="Calibri" w:hAnsi="Calibri"/>
          <w:b w:val="false"/>
          <w:bCs w:val="false"/>
          <w:color w:val="1A1A1A"/>
          <w:sz w:val="21"/>
          <w:szCs w:val="21"/>
        </w:rPr>
        <w:t>17. Employee / Contractor Acknowledgment &amp; Compliance Statement</w:t>
        <w:tab/>
        <w:t>30</w:t>
      </w:r>
    </w:p>
    <w:p>
      <w:pPr>
        <w:spacing w:after="90" w:before="0"/>
        <w:ind w:left="260"/>
      </w:pPr>
      <w:r>
        <w:rPr>
          <w:rFonts w:ascii="Calibri" w:cs="Calibri" w:eastAsia="Calibri" w:hAnsi="Calibri"/>
          <w:b w:val="false"/>
          <w:bCs w:val="false"/>
          <w:color w:val="1A1A1A"/>
          <w:sz w:val="21"/>
          <w:szCs w:val="21"/>
        </w:rPr>
        <w:t>18. Confidentiality &amp; Non-Disclosure — Separate Counter-Signature</w:t>
        <w:tab/>
        <w:t>31</w:t>
      </w:r>
    </w:p>
    <w:p>
      <w:pPr>
        <w:spacing w:after="90" w:before="0"/>
        <w:ind w:left="260"/>
      </w:pPr>
      <w:r>
        <w:rPr>
          <w:rFonts w:ascii="Calibri" w:cs="Calibri" w:eastAsia="Calibri" w:hAnsi="Calibri"/>
          <w:b w:val="false"/>
          <w:bCs w:val="false"/>
          <w:color w:val="1A1A1A"/>
          <w:sz w:val="21"/>
          <w:szCs w:val="21"/>
        </w:rPr>
        <w:t>19. Periodic Re-Acknowledgment Tracking</w:t>
        <w:tab/>
        <w:t>32</w:t>
      </w:r>
    </w:p>
    <w:p>
      <w:pPr>
        <w:spacing w:after="90" w:before="0"/>
        <w:ind w:left="260"/>
      </w:pPr>
      <w:r>
        <w:rPr>
          <w:rFonts w:ascii="Calibri" w:cs="Calibri" w:eastAsia="Calibri" w:hAnsi="Calibri"/>
          <w:b w:val="false"/>
          <w:bCs w:val="false"/>
          <w:color w:val="1A1A1A"/>
          <w:sz w:val="21"/>
          <w:szCs w:val="21"/>
        </w:rPr>
        <w:t>20. Approval</w:t>
        <w:tab/>
        <w:t>33</w:t>
      </w:r>
    </w:p>
    <w:p>
      <w:pPr>
        <w:spacing w:after="80" w:before="220"/>
      </w:pPr>
      <w:r>
        <w:rPr>
          <w:rFonts w:ascii="Calibri" w:cs="Calibri" w:eastAsia="Calibri" w:hAnsi="Calibri"/>
          <w:b/>
          <w:bCs/>
          <w:color w:val="14532D"/>
          <w:sz w:val="22"/>
          <w:szCs w:val="22"/>
        </w:rPr>
        <w:t>APPENDICES</w:t>
        <w:tab/>
        <w:t>34</w:t>
      </w:r>
    </w:p>
    <w:p>
      <w:pPr>
        <w:spacing w:after="90" w:before="0"/>
        <w:ind w:left="260"/>
      </w:pPr>
      <w:r>
        <w:rPr>
          <w:rFonts w:ascii="Calibri" w:cs="Calibri" w:eastAsia="Calibri" w:hAnsi="Calibri"/>
          <w:b w:val="false"/>
          <w:bCs w:val="false"/>
          <w:color w:val="1A1A1A"/>
          <w:sz w:val="21"/>
          <w:szCs w:val="21"/>
        </w:rPr>
        <w:t>Appendix A — Quick-Reference Contact Directory</w:t>
        <w:tab/>
        <w:t>34</w:t>
      </w:r>
    </w:p>
    <w:p>
      <w:pPr>
        <w:spacing w:after="90" w:before="0"/>
        <w:ind w:left="260"/>
      </w:pPr>
      <w:r>
        <w:rPr>
          <w:rFonts w:ascii="Calibri" w:cs="Calibri" w:eastAsia="Calibri" w:hAnsi="Calibri"/>
          <w:b w:val="false"/>
          <w:bCs w:val="false"/>
          <w:color w:val="1A1A1A"/>
          <w:sz w:val="21"/>
          <w:szCs w:val="21"/>
        </w:rPr>
        <w:t>Appendix B — Glossary</w:t>
        <w:tab/>
        <w:t>34</w:t>
      </w:r>
    </w:p>
    <w:p>
      <w:r>
        <w:br w:type="page"/>
      </w:r>
    </w:p>
    <w:p>
      <w:pPr>
        <w:pStyle w:val="Heading1"/>
        <w:spacing w:after="240"/>
      </w:pPr>
      <w:r>
        <w:rPr>
          <w:rFonts w:ascii="Cambria" w:cs="Cambria" w:eastAsia="Cambria" w:hAnsi="Cambria"/>
          <w:b/>
          <w:bCs/>
          <w:color w:val="14532D"/>
          <w:sz w:val="32"/>
          <w:szCs w:val="32"/>
        </w:rPr>
        <w:t xml:space="preserve">A Message from the CEO</w:t>
      </w:r>
    </w:p>
    <w:p>
      <w:pPr>
        <w:spacing w:after="160" w:line="276"/>
        <w:jc w:val="both"/>
      </w:pPr>
      <w:r>
        <w:rPr>
          <w:rFonts w:ascii="Calibri" w:cs="Calibri" w:eastAsia="Calibri" w:hAnsi="Calibri"/>
          <w:b w:val="false"/>
          <w:bCs w:val="false"/>
          <w:i w:val="false"/>
          <w:iCs w:val="false"/>
          <w:color w:val="1A1A1A"/>
          <w:sz w:val="21"/>
          <w:szCs w:val="21"/>
        </w:rPr>
        <w:t xml:space="preserve">Dear Colleague,</w:t>
      </w:r>
    </w:p>
    <w:p>
      <w:pPr>
        <w:spacing w:after="160" w:line="276"/>
        <w:jc w:val="both"/>
      </w:pPr>
      <w:r>
        <w:rPr>
          <w:rFonts w:ascii="Calibri" w:cs="Calibri" w:eastAsia="Calibri" w:hAnsi="Calibri"/>
          <w:b w:val="false"/>
          <w:bCs w:val="false"/>
          <w:i w:val="false"/>
          <w:iCs w:val="false"/>
          <w:color w:val="1A1A1A"/>
          <w:sz w:val="21"/>
          <w:szCs w:val="21"/>
        </w:rPr>
        <w:t xml:space="preserve">Welcome to Ohana Jamaica Limited and to the EduJA team. Whether you have joined us to sell and support our subscriptions, to keep our operations running smoothly behind the scenes, or to teach and mentor the students who trust us with their education, you are now part of a company built around a simple idea: that Jamaican students deserve a learning platform built specifically for them, by people who understand the Jamaican Ministry of Education curriculum and the Jamaican classroom.</w:t>
      </w:r>
    </w:p>
    <w:p>
      <w:pPr>
        <w:spacing w:after="160" w:line="276"/>
        <w:jc w:val="both"/>
      </w:pPr>
      <w:r>
        <w:rPr>
          <w:rFonts w:ascii="Calibri" w:cs="Calibri" w:eastAsia="Calibri" w:hAnsi="Calibri"/>
          <w:b w:val="false"/>
          <w:bCs w:val="false"/>
          <w:i w:val="false"/>
          <w:iCs w:val="false"/>
          <w:color w:val="1A1A1A"/>
          <w:sz w:val="21"/>
          <w:szCs w:val="21"/>
        </w:rPr>
        <w:t xml:space="preserve">That mission only works if the people behind it — you — act with consistent professionalism, protect the trust that students, parents, and guardians place in us, and treat one another and our customers with respect. This handbook exists to make our expectations clear, not to be a wall of rules for their own sake. It tells you what we stand for, what the law requires of us as a Jamaican company handling personal data, and exactly what “good” looks like in your role.</w:t>
      </w:r>
    </w:p>
    <w:p>
      <w:pPr>
        <w:spacing w:after="160" w:line="276"/>
        <w:jc w:val="both"/>
      </w:pPr>
      <w:r>
        <w:rPr>
          <w:rFonts w:ascii="Calibri" w:cs="Calibri" w:eastAsia="Calibri" w:hAnsi="Calibri"/>
          <w:b w:val="false"/>
          <w:bCs w:val="false"/>
          <w:i w:val="false"/>
          <w:iCs w:val="false"/>
          <w:color w:val="1A1A1A"/>
          <w:sz w:val="21"/>
          <w:szCs w:val="21"/>
        </w:rPr>
        <w:t xml:space="preserve">Please read this handbook in full, keep it somewhere you can refer back to, and ask questions if anything is unclear — I would rather you ask than guess. At the end of this document you will be asked to sign, confirming you have received, read, and understood it, and that you agree to comply with it, including the confidentiality obligations in Part II. That signature is required of every person who works with us, without exception.</w:t>
      </w:r>
    </w:p>
    <w:p>
      <w:pPr>
        <w:spacing w:after="160" w:line="276"/>
        <w:jc w:val="both"/>
      </w:pPr>
      <w:r>
        <w:rPr>
          <w:rFonts w:ascii="Calibri" w:cs="Calibri" w:eastAsia="Calibri" w:hAnsi="Calibri"/>
          <w:b w:val="false"/>
          <w:bCs w:val="false"/>
          <w:i w:val="false"/>
          <w:iCs w:val="false"/>
          <w:color w:val="1A1A1A"/>
          <w:sz w:val="21"/>
          <w:szCs w:val="21"/>
        </w:rPr>
        <w:t xml:space="preserve">Thank you for the work you do for our students and for this company.</w:t>
      </w:r>
    </w:p>
    <w:p>
      <w:pPr>
        <w:spacing w:after="200"/>
      </w:pPr>
    </w:p>
    <w:p>
      <w:pPr>
        <w:spacing w:after="160" w:line="276"/>
        <w:jc w:val="both"/>
      </w:pPr>
      <w:r>
        <w:rPr>
          <w:rFonts w:ascii="Calibri" w:cs="Calibri" w:eastAsia="Calibri" w:hAnsi="Calibri"/>
          <w:b w:val="false"/>
          <w:bCs w:val="false"/>
          <w:i w:val="false"/>
          <w:iCs w:val="false"/>
          <w:color w:val="1A1A1A"/>
          <w:sz w:val="21"/>
          <w:szCs w:val="21"/>
        </w:rPr>
        <w:t xml:space="preserve">Sincerely,</w:t>
      </w:r>
    </w:p>
    <w:p>
      <w:pPr>
        <w:spacing w:after="400"/>
      </w:pPr>
    </w:p>
    <w:p>
      <w:pPr>
        <w:spacing w:after="160" w:line="276"/>
        <w:jc w:val="both"/>
      </w:pPr>
      <w:r>
        <w:rPr>
          <w:rFonts w:ascii="Calibri" w:cs="Calibri" w:eastAsia="Calibri" w:hAnsi="Calibri"/>
          <w:b w:val="false"/>
          <w:bCs w:val="false"/>
          <w:i w:val="false"/>
          <w:iCs w:val="false"/>
          <w:color w:val="1A1A1A"/>
          <w:sz w:val="21"/>
          <w:szCs w:val="21"/>
        </w:rPr>
        <w:t xml:space="preserve">George E. Morgan</w:t>
      </w:r>
    </w:p>
    <w:p>
      <w:pPr>
        <w:spacing w:after="160" w:line="276"/>
        <w:jc w:val="both"/>
      </w:pPr>
      <w:r>
        <w:rPr>
          <w:rFonts w:ascii="Calibri" w:cs="Calibri" w:eastAsia="Calibri" w:hAnsi="Calibri"/>
          <w:b w:val="false"/>
          <w:bCs w:val="false"/>
          <w:i w:val="false"/>
          <w:iCs w:val="false"/>
          <w:color w:val="1A1A1A"/>
          <w:sz w:val="21"/>
          <w:szCs w:val="21"/>
        </w:rPr>
        <w:t xml:space="preserve">President &amp; Chief Executive Officer</w:t>
      </w:r>
    </w:p>
    <w:p>
      <w:pPr>
        <w:spacing w:after="160" w:line="276"/>
        <w:jc w:val="both"/>
      </w:pPr>
      <w:r>
        <w:rPr>
          <w:rFonts w:ascii="Calibri" w:cs="Calibri" w:eastAsia="Calibri" w:hAnsi="Calibri"/>
          <w:b w:val="false"/>
          <w:bCs w:val="false"/>
          <w:i w:val="false"/>
          <w:iCs w:val="false"/>
          <w:color w:val="1A1A1A"/>
          <w:sz w:val="21"/>
          <w:szCs w:val="21"/>
        </w:rPr>
        <w:t xml:space="preserve">Ohana Jamaica Limited</w:t>
      </w:r>
    </w:p>
    <w:p>
      <w:r>
        <w:br w:type="page"/>
      </w:r>
    </w:p>
    <w:p>
      <w:pPr>
        <w:pStyle w:val="Heading1"/>
        <w:pBdr>
          <w:bottom w:val="single" w:color="14532D" w:sz="8" w:space="6"/>
        </w:pBdr>
        <w:spacing w:after="240" w:before="480"/>
      </w:pPr>
      <w:r>
        <w:rPr>
          <w:rFonts w:ascii="Cambria" w:cs="Cambria" w:eastAsia="Cambria" w:hAnsi="Cambria"/>
          <w:b/>
          <w:bCs/>
          <w:color w:val="14532D"/>
          <w:sz w:val="32"/>
          <w:szCs w:val="32"/>
        </w:rPr>
        <w:t xml:space="preserve">PART I — ABOUT THIS HANDBOOK</w:t>
      </w:r>
    </w:p>
    <w:p>
      <w:pPr>
        <w:pStyle w:val="Heading2"/>
        <w:spacing w:after="160" w:before="360"/>
      </w:pPr>
      <w:r>
        <w:rPr>
          <w:rFonts w:ascii="Cambria" w:cs="Cambria" w:eastAsia="Cambria" w:hAnsi="Cambria"/>
          <w:b/>
          <w:bCs/>
          <w:color w:val="1A1A1A"/>
          <w:sz w:val="25"/>
          <w:szCs w:val="25"/>
        </w:rPr>
        <w:t xml:space="preserve">1. About Ohana Jamaica Limited &amp; EduJA</w:t>
      </w:r>
    </w:p>
    <w:p>
      <w:pPr>
        <w:spacing w:after="160" w:line="276"/>
        <w:jc w:val="both"/>
      </w:pPr>
      <w:r>
        <w:rPr>
          <w:rFonts w:ascii="Calibri" w:cs="Calibri" w:eastAsia="Calibri" w:hAnsi="Calibri"/>
          <w:b w:val="false"/>
          <w:bCs w:val="false"/>
          <w:i w:val="false"/>
          <w:iCs w:val="false"/>
          <w:color w:val="1A1A1A"/>
          <w:sz w:val="21"/>
          <w:szCs w:val="21"/>
        </w:rPr>
        <w:t xml:space="preserve">Ohana Jamaica Limited (“the Company,” “Ohana Jamaica,” “we,” or “us”) is a company registered in Jamaica in 2020 and based in Montego Bay, St. James. The Company owns and operates EduJA (eduja.org), an online learning platform built specifically for Jamaican secondary school students in Grades 7 through 13.</w:t>
      </w:r>
    </w:p>
    <w:p>
      <w:pPr>
        <w:spacing w:after="160" w:line="276"/>
        <w:jc w:val="both"/>
      </w:pPr>
      <w:r>
        <w:rPr>
          <w:rFonts w:ascii="Calibri" w:cs="Calibri" w:eastAsia="Calibri" w:hAnsi="Calibri"/>
          <w:b w:val="false"/>
          <w:bCs w:val="false"/>
          <w:i w:val="false"/>
          <w:iCs w:val="false"/>
          <w:color w:val="1A1A1A"/>
          <w:sz w:val="21"/>
          <w:szCs w:val="21"/>
        </w:rPr>
        <w:t xml:space="preserve">Unlike international platforms adapted after the fact for the Jamaican market, EduJA's lessons, practice questions, and subject coverage are built for Jamaican students from the ground up: the Ministry of Education's National Standards Curriculum in Grades 7–9, CSEC-level content in Grades 10–11, and CAPE-level content in Grades 12–13. The platform currently covers five core subjects at every grade from 7 to 13: Language Arts, Mathematics, Integrated Science, Social Studies, and Spanish. Each subject is offered at three levels (Beginner, Intermediate, and Advanced) with 100 lessons per level — 10,500 lessons in all, each with its own video and quiz.</w:t>
      </w:r>
    </w:p>
    <w:p>
      <w:pPr>
        <w:pStyle w:val="Heading3"/>
        <w:spacing w:after="120" w:before="260"/>
      </w:pPr>
      <w:r>
        <w:rPr>
          <w:rFonts w:ascii="Calibri" w:cs="Calibri" w:eastAsia="Calibri" w:hAnsi="Calibri"/>
          <w:b/>
          <w:bCs/>
          <w:i w:val="false"/>
          <w:iCs w:val="false"/>
          <w:color w:val="1D6B45"/>
          <w:sz w:val="23"/>
          <w:szCs w:val="23"/>
        </w:rPr>
        <w:t xml:space="preserve">What EduJA offers</w:t>
      </w:r>
    </w:p>
    <w:p>
      <w:pPr>
        <w:pStyle w:val="ListParagraph"/>
        <w:numPr>
          <w:ilvl w:val="0"/>
          <w:numId w:val="2"/>
        </w:numPr>
        <w:spacing w:after="90" w:line="276"/>
      </w:pPr>
      <w:r>
        <w:rPr>
          <w:rFonts w:ascii="Calibri" w:cs="Calibri" w:eastAsia="Calibri" w:hAnsi="Calibri"/>
          <w:color w:val="1A1A1A"/>
          <w:sz w:val="21"/>
          <w:szCs w:val="21"/>
        </w:rPr>
        <w:t xml:space="preserve">10,500 structured lessons, each with its own video, plus more than 370,000 quiz, assessment, and practice questions — each question with a written explanation so a wrong answer teaches something rather than just being marked wrong.</w:t>
      </w:r>
    </w:p>
    <w:p>
      <w:pPr>
        <w:pStyle w:val="ListParagraph"/>
        <w:numPr>
          <w:ilvl w:val="0"/>
          <w:numId w:val="2"/>
        </w:numPr>
        <w:spacing w:after="90" w:line="276"/>
      </w:pPr>
      <w:r>
        <w:rPr>
          <w:rFonts w:ascii="Calibri" w:cs="Calibri" w:eastAsia="Calibri" w:hAnsi="Calibri"/>
          <w:color w:val="1A1A1A"/>
          <w:sz w:val="21"/>
          <w:szCs w:val="21"/>
        </w:rPr>
        <w:t xml:space="preserve">Direct teacher support — students can message their assigned teacher, and on eligible plans, book voice or video sessions.</w:t>
      </w:r>
    </w:p>
    <w:p>
      <w:pPr>
        <w:pStyle w:val="ListParagraph"/>
        <w:numPr>
          <w:ilvl w:val="0"/>
          <w:numId w:val="2"/>
        </w:numPr>
        <w:spacing w:after="90" w:line="276"/>
      </w:pPr>
      <w:r>
        <w:rPr>
          <w:rFonts w:ascii="Calibri" w:cs="Calibri" w:eastAsia="Calibri" w:hAnsi="Calibri"/>
          <w:color w:val="1A1A1A"/>
          <w:sz w:val="21"/>
          <w:szCs w:val="21"/>
        </w:rPr>
        <w:t xml:space="preserve">AI-assisted question drafting that speeds up how our teachers build new practice questions — every AI-drafted question is reviewed and, where needed, corrected by a qualified teacher before any student ever sees it.</w:t>
      </w:r>
    </w:p>
    <w:p>
      <w:pPr>
        <w:pStyle w:val="ListParagraph"/>
        <w:numPr>
          <w:ilvl w:val="0"/>
          <w:numId w:val="2"/>
        </w:numPr>
        <w:spacing w:after="90" w:line="276"/>
      </w:pPr>
      <w:r>
        <w:rPr>
          <w:rFonts w:ascii="Calibri" w:cs="Calibri" w:eastAsia="Calibri" w:hAnsi="Calibri"/>
          <w:color w:val="1A1A1A"/>
          <w:sz w:val="21"/>
          <w:szCs w:val="21"/>
        </w:rPr>
        <w:t xml:space="preserve">Progress tracking for students, with an optional weekly summary email for parents and guardians.</w:t>
      </w:r>
    </w:p>
    <w:p>
      <w:pPr>
        <w:pStyle w:val="Heading3"/>
        <w:spacing w:after="120" w:before="260"/>
      </w:pPr>
      <w:r>
        <w:rPr>
          <w:rFonts w:ascii="Calibri" w:cs="Calibri" w:eastAsia="Calibri" w:hAnsi="Calibri"/>
          <w:b/>
          <w:bCs/>
          <w:i w:val="false"/>
          <w:iCs w:val="false"/>
          <w:color w:val="1D6B45"/>
          <w:sz w:val="23"/>
          <w:szCs w:val="23"/>
        </w:rPr>
        <w:t xml:space="preserve">Who we serve</w:t>
      </w:r>
    </w:p>
    <w:p>
      <w:pPr>
        <w:pStyle w:val="ListParagraph"/>
        <w:numPr>
          <w:ilvl w:val="0"/>
          <w:numId w:val="2"/>
        </w:numPr>
        <w:spacing w:after="90" w:line="276"/>
      </w:pPr>
      <w:r>
        <w:rPr>
          <w:rFonts w:ascii="Calibri" w:cs="Calibri" w:eastAsia="Calibri" w:hAnsi="Calibri"/>
          <w:color w:val="1A1A1A"/>
          <w:sz w:val="21"/>
          <w:szCs w:val="21"/>
        </w:rPr>
        <w:t xml:space="preserve">Students in Grades 7–13 at Jamaican secondary schools.</w:t>
      </w:r>
    </w:p>
    <w:p>
      <w:pPr>
        <w:pStyle w:val="ListParagraph"/>
        <w:numPr>
          <w:ilvl w:val="0"/>
          <w:numId w:val="2"/>
        </w:numPr>
        <w:spacing w:after="90" w:line="276"/>
      </w:pPr>
      <w:r>
        <w:rPr>
          <w:rFonts w:ascii="Calibri" w:cs="Calibri" w:eastAsia="Calibri" w:hAnsi="Calibri"/>
          <w:color w:val="1A1A1A"/>
          <w:sz w:val="21"/>
          <w:szCs w:val="21"/>
        </w:rPr>
        <w:t xml:space="preserve">Parents and guardians who want visibility into their child's progress.</w:t>
      </w:r>
    </w:p>
    <w:p>
      <w:pPr>
        <w:pStyle w:val="ListParagraph"/>
        <w:numPr>
          <w:ilvl w:val="0"/>
          <w:numId w:val="2"/>
        </w:numPr>
        <w:spacing w:after="90" w:line="276"/>
      </w:pPr>
      <w:r>
        <w:rPr>
          <w:rFonts w:ascii="Calibri" w:cs="Calibri" w:eastAsia="Calibri" w:hAnsi="Calibri"/>
          <w:color w:val="1A1A1A"/>
          <w:sz w:val="21"/>
          <w:szCs w:val="21"/>
        </w:rPr>
        <w:t xml:space="preserve">Teachers who assign, message, and support students directly on the platform.</w:t>
      </w:r>
    </w:p>
    <w:p>
      <w:pPr>
        <w:pStyle w:val="Heading3"/>
        <w:spacing w:after="120" w:before="260"/>
      </w:pPr>
      <w:r>
        <w:rPr>
          <w:rFonts w:ascii="Calibri" w:cs="Calibri" w:eastAsia="Calibri" w:hAnsi="Calibri"/>
          <w:b/>
          <w:bCs/>
          <w:i w:val="false"/>
          <w:iCs w:val="false"/>
          <w:color w:val="1D6B45"/>
          <w:sz w:val="23"/>
          <w:szCs w:val="23"/>
        </w:rPr>
        <w:t xml:space="preserve">How the business runs</w:t>
      </w:r>
    </w:p>
    <w:p>
      <w:pPr>
        <w:spacing w:after="160" w:line="276"/>
        <w:jc w:val="both"/>
      </w:pPr>
      <w:r>
        <w:rPr>
          <w:rFonts w:ascii="Calibri" w:cs="Calibri" w:eastAsia="Calibri" w:hAnsi="Calibri"/>
          <w:b w:val="false"/>
          <w:bCs w:val="false"/>
          <w:i w:val="false"/>
          <w:iCs w:val="false"/>
          <w:color w:val="1A1A1A"/>
          <w:sz w:val="21"/>
          <w:szCs w:val="21"/>
        </w:rPr>
        <w:t xml:space="preserve">Families and students subscribe to one of several plans (Single Subject, Full Curriculum, or a Family Plan covering multiple students), paid by PayPal, bank transfer, or remittance. (Payment in person by cash is suspended until the office is staffed for walk-ins — see §13.4.) The Company's small team is organized around three functions this handbook speaks to directly: Sales (enrolling and supporting subscribers), Administration (processing payments, managing accounts, and day-to-day operations), and Teaching (delivering the curriculum and supporting students).</w:t>
      </w:r>
    </w:p>
    <w:p>
      <w:pPr>
        <w:pStyle w:val="Heading2"/>
        <w:spacing w:after="160" w:before="360"/>
      </w:pPr>
      <w:r>
        <w:rPr>
          <w:rFonts w:ascii="Cambria" w:cs="Cambria" w:eastAsia="Cambria" w:hAnsi="Cambria"/>
          <w:b/>
          <w:bCs/>
          <w:color w:val="1A1A1A"/>
          <w:sz w:val="25"/>
          <w:szCs w:val="25"/>
        </w:rPr>
        <w:t xml:space="preserve">2. Purpose &amp; Scope of This Handbook</w:t>
      </w:r>
    </w:p>
    <w:p>
      <w:pPr>
        <w:spacing w:after="160" w:line="276"/>
        <w:jc w:val="both"/>
      </w:pPr>
      <w:r>
        <w:rPr>
          <w:rFonts w:ascii="Calibri" w:cs="Calibri" w:eastAsia="Calibri" w:hAnsi="Calibri"/>
          <w:b w:val="false"/>
          <w:bCs w:val="false"/>
          <w:i w:val="false"/>
          <w:iCs w:val="false"/>
          <w:color w:val="1A1A1A"/>
          <w:sz w:val="21"/>
          <w:szCs w:val="21"/>
        </w:rPr>
        <w:t xml:space="preserve">This handbook sets out the standards, policies, and training every person working with Ohana Jamaica Limited on the EduJA platform is expected to know and follow. It exists to:</w:t>
      </w:r>
    </w:p>
    <w:p>
      <w:pPr>
        <w:pStyle w:val="ListParagraph"/>
        <w:numPr>
          <w:ilvl w:val="0"/>
          <w:numId w:val="2"/>
        </w:numPr>
        <w:spacing w:after="90" w:line="276"/>
      </w:pPr>
      <w:r>
        <w:rPr>
          <w:rFonts w:ascii="Calibri" w:cs="Calibri" w:eastAsia="Calibri" w:hAnsi="Calibri"/>
          <w:color w:val="1A1A1A"/>
          <w:sz w:val="21"/>
          <w:szCs w:val="21"/>
        </w:rPr>
        <w:t xml:space="preserve">Give every staff member — regardless of role — one consistent set of expectations for conduct, confidentiality, and data handling.</w:t>
      </w:r>
    </w:p>
    <w:p>
      <w:pPr>
        <w:pStyle w:val="ListParagraph"/>
        <w:numPr>
          <w:ilvl w:val="0"/>
          <w:numId w:val="2"/>
        </w:numPr>
        <w:spacing w:after="90" w:line="276"/>
      </w:pPr>
      <w:r>
        <w:rPr>
          <w:rFonts w:ascii="Calibri" w:cs="Calibri" w:eastAsia="Calibri" w:hAnsi="Calibri"/>
          <w:color w:val="1A1A1A"/>
          <w:sz w:val="21"/>
          <w:szCs w:val="21"/>
        </w:rPr>
        <w:t xml:space="preserve">Provide role-specific training for our three staff groups: Sales Associates, Administrative Staff, and Teachers.</w:t>
      </w:r>
    </w:p>
    <w:p>
      <w:pPr>
        <w:pStyle w:val="ListParagraph"/>
        <w:numPr>
          <w:ilvl w:val="0"/>
          <w:numId w:val="2"/>
        </w:numPr>
        <w:spacing w:after="90" w:line="276"/>
      </w:pPr>
      <w:r>
        <w:rPr>
          <w:rFonts w:ascii="Calibri" w:cs="Calibri" w:eastAsia="Calibri" w:hAnsi="Calibri"/>
          <w:color w:val="1A1A1A"/>
          <w:sz w:val="21"/>
          <w:szCs w:val="21"/>
        </w:rPr>
        <w:t xml:space="preserve">Document, in one place, the Company's obligations under Jamaican law (including the Data Protection Act, 2020, and Jamaican employment law) so that staff understand not just what to do, but why.</w:t>
      </w:r>
    </w:p>
    <w:p>
      <w:pPr>
        <w:pStyle w:val="ListParagraph"/>
        <w:numPr>
          <w:ilvl w:val="0"/>
          <w:numId w:val="2"/>
        </w:numPr>
        <w:spacing w:after="90" w:line="276"/>
      </w:pPr>
      <w:r>
        <w:rPr>
          <w:rFonts w:ascii="Calibri" w:cs="Calibri" w:eastAsia="Calibri" w:hAnsi="Calibri"/>
          <w:color w:val="1A1A1A"/>
          <w:sz w:val="21"/>
          <w:szCs w:val="21"/>
        </w:rPr>
        <w:t xml:space="preserve">Create a clear, signed record that every staff member has received, read, and agreed to comply with these policies.</w:t>
      </w:r>
    </w:p>
    <w:tbl>
      <w:tblPr>
        <w:tblW w:type="dxa" w:w="9350"/>
        <w:tblBorders>
          <w:top w:val="single" w:color="14532D" w:sz="4"/>
          <w:left w:val="single" w:color="14532D" w:sz="24"/>
          <w:bottom w:val="single" w:color="14532D" w:sz="4"/>
          <w:right w:val="single" w:color="14532D" w:sz="4"/>
          <w:insideH w:val="none" w:color="FFFFFF" w:sz="0"/>
          <w:insideV w:val="none" w:color="FFFFFF" w:sz="0"/>
        </w:tblBorders>
      </w:tblPr>
      <w:tblGrid>
        <w:gridCol w:w="9350"/>
      </w:tblGrid>
      <w:tr>
        <w:tc>
          <w:tcPr>
            <w:tcW w:type="dxa" w:w="9350"/>
            <w:shd w:fill="E8F1EC" w:color="auto" w:val="clear"/>
            <w:tcMar>
              <w:top w:type="dxa" w:w="160"/>
              <w:left w:type="dxa" w:w="220"/>
              <w:bottom w:type="dxa" w:w="160"/>
              <w:right w:type="dxa" w:w="220"/>
            </w:tcMar>
          </w:tcPr>
          <w:p>
            <w:pPr>
              <w:spacing w:after="80"/>
            </w:pPr>
            <w:r>
              <w:rPr>
                <w:rFonts w:ascii="Calibri" w:cs="Calibri" w:eastAsia="Calibri" w:hAnsi="Calibri"/>
                <w:b/>
                <w:bCs/>
                <w:color w:val="14532D"/>
                <w:sz w:val="21"/>
                <w:szCs w:val="21"/>
              </w:rPr>
              <w:t xml:space="preserve">Who this handbook applies to</w:t>
            </w:r>
          </w:p>
          <w:p>
            <w:pPr>
              <w:pStyle w:val="ListParagraph"/>
              <w:numPr>
                <w:ilvl w:val="0"/>
                <w:numId w:val="2"/>
              </w:numPr>
              <w:spacing w:after="60" w:line="264"/>
            </w:pPr>
            <w:r>
              <w:rPr>
                <w:rFonts w:ascii="Calibri" w:cs="Calibri" w:eastAsia="Calibri" w:hAnsi="Calibri"/>
                <w:b w:val="false"/>
                <w:bCs w:val="false"/>
                <w:color w:val="1A1A1A"/>
                <w:sz w:val="20"/>
                <w:szCs w:val="20"/>
              </w:rPr>
              <w:t xml:space="preserve">This handbook applies to every person who performs work for Ohana Jamaica Limited in connection with EduJA, regardless of title or engagement type, including:</w:t>
            </w:r>
          </w:p>
          <w:p>
            <w:pPr>
              <w:spacing w:after="80" w:line="264"/>
            </w:pPr>
            <w:r>
              <w:rPr>
                <w:rFonts w:ascii="Calibri" w:cs="Calibri" w:eastAsia="Calibri" w:hAnsi="Calibri"/>
                <w:color w:val="1A1A1A"/>
                <w:sz w:val="20"/>
                <w:szCs w:val="20"/>
              </w:rPr>
              <w:t xml:space="preserve">Full-time and part-time employees</w:t>
            </w:r>
          </w:p>
          <w:p>
            <w:pPr>
              <w:spacing w:after="80" w:line="264"/>
            </w:pPr>
            <w:r>
              <w:rPr>
                <w:rFonts w:ascii="Calibri" w:cs="Calibri" w:eastAsia="Calibri" w:hAnsi="Calibri"/>
                <w:color w:val="1A1A1A"/>
                <w:sz w:val="20"/>
                <w:szCs w:val="20"/>
              </w:rPr>
              <w:t xml:space="preserve">Independent contractors and freelance teachers engaged to deliver lessons, tutoring, or curriculum support</w:t>
            </w:r>
          </w:p>
          <w:p>
            <w:pPr>
              <w:spacing w:after="80" w:line="264"/>
            </w:pPr>
            <w:r>
              <w:rPr>
                <w:rFonts w:ascii="Calibri" w:cs="Calibri" w:eastAsia="Calibri" w:hAnsi="Calibri"/>
                <w:color w:val="1A1A1A"/>
                <w:sz w:val="20"/>
                <w:szCs w:val="20"/>
              </w:rPr>
              <w:t xml:space="preserve">Sales associates and agents, whether salaried, commissioned, or contracted</w:t>
            </w:r>
          </w:p>
          <w:p>
            <w:pPr>
              <w:spacing w:after="80" w:line="264"/>
            </w:pPr>
            <w:r>
              <w:rPr>
                <w:rFonts w:ascii="Calibri" w:cs="Calibri" w:eastAsia="Calibri" w:hAnsi="Calibri"/>
                <w:color w:val="1A1A1A"/>
                <w:sz w:val="20"/>
                <w:szCs w:val="20"/>
              </w:rPr>
              <w:t xml:space="preserve">Administrative and operations staff, including temporary or seasonal staff</w:t>
            </w:r>
          </w:p>
          <w:p>
            <w:pPr>
              <w:spacing w:after="80" w:line="264"/>
            </w:pPr>
            <w:r>
              <w:rPr>
                <w:rFonts w:ascii="Calibri" w:cs="Calibri" w:eastAsia="Calibri" w:hAnsi="Calibri"/>
                <w:color w:val="1A1A1A"/>
                <w:sz w:val="20"/>
                <w:szCs w:val="20"/>
              </w:rPr>
              <w:t xml:space="preserve">Anyone granted access to the EduJA admin dashboard, teacher portal, customer data, or Company systems</w:t>
            </w:r>
          </w:p>
        </w:tc>
      </w:tr>
    </w:tbl>
    <w:p>
      <w:pPr>
        <w:spacing w:after="100"/>
      </w:pPr>
    </w:p>
    <w:p>
      <w:pPr>
        <w:spacing w:after="160" w:line="276"/>
        <w:jc w:val="both"/>
      </w:pPr>
      <w:r>
        <w:rPr>
          <w:rFonts w:ascii="Calibri" w:cs="Calibri" w:eastAsia="Calibri" w:hAnsi="Calibri"/>
          <w:b w:val="false"/>
          <w:bCs w:val="false"/>
          <w:i w:val="false"/>
          <w:iCs w:val="false"/>
          <w:color w:val="1A1A1A"/>
          <w:sz w:val="21"/>
          <w:szCs w:val="21"/>
        </w:rPr>
        <w:t xml:space="preserve">Where a policy in this handbook (for example, statutory leave entitlements) applies specifically to employees and not to independent contractors, that distinction is stated in the relevant section. Where a contractor's written agreement with the Company conflicts with this handbook on a specific point, the written agreement governs that point; this handbook governs everything else, including confidentiality, data protection, and conduct, which apply to contractors in full.</w:t>
      </w:r>
    </w:p>
    <w:p>
      <w:pPr>
        <w:pStyle w:val="Heading2"/>
        <w:spacing w:after="160" w:before="360"/>
      </w:pPr>
      <w:r>
        <w:rPr>
          <w:rFonts w:ascii="Cambria" w:cs="Cambria" w:eastAsia="Cambria" w:hAnsi="Cambria"/>
          <w:b/>
          <w:bCs/>
          <w:color w:val="1A1A1A"/>
          <w:sz w:val="25"/>
          <w:szCs w:val="25"/>
        </w:rPr>
        <w:t xml:space="preserve">3. How to Use This Handbook &amp; Periodic Review Policy</w:t>
      </w:r>
    </w:p>
    <w:p>
      <w:pPr>
        <w:spacing w:after="160" w:line="276"/>
        <w:jc w:val="both"/>
      </w:pPr>
      <w:r>
        <w:rPr>
          <w:rFonts w:ascii="Calibri" w:cs="Calibri" w:eastAsia="Calibri" w:hAnsi="Calibri"/>
          <w:b w:val="false"/>
          <w:bCs w:val="false"/>
          <w:i w:val="false"/>
          <w:iCs w:val="false"/>
          <w:color w:val="1A1A1A"/>
          <w:sz w:val="21"/>
          <w:szCs w:val="21"/>
        </w:rPr>
        <w:t xml:space="preserve">This handbook is organized into four parts:</w:t>
      </w:r>
    </w:p>
    <w:p>
      <w:pPr>
        <w:pStyle w:val="ListParagraph"/>
        <w:numPr>
          <w:ilvl w:val="0"/>
          <w:numId w:val="2"/>
        </w:numPr>
        <w:spacing w:after="90" w:line="276"/>
      </w:pPr>
      <w:r>
        <w:rPr>
          <w:rFonts w:ascii="Calibri" w:cs="Calibri" w:eastAsia="Calibri" w:hAnsi="Calibri"/>
          <w:b/>
          <w:bCs/>
          <w:color w:val="1A1A1A"/>
          <w:sz w:val="21"/>
          <w:szCs w:val="21"/>
        </w:rPr>
        <w:t xml:space="preserve">Part I — About This Handbook: </w:t>
      </w:r>
      <w:r>
        <w:rPr>
          <w:rFonts w:ascii="Calibri" w:cs="Calibri" w:eastAsia="Calibri" w:hAnsi="Calibri"/>
          <w:color w:val="1A1A1A"/>
          <w:sz w:val="21"/>
          <w:szCs w:val="21"/>
        </w:rPr>
        <w:t xml:space="preserve">what EduJA is, who this handbook covers, and how it is maintained.</w:t>
      </w:r>
    </w:p>
    <w:p>
      <w:pPr>
        <w:pStyle w:val="ListParagraph"/>
        <w:numPr>
          <w:ilvl w:val="0"/>
          <w:numId w:val="2"/>
        </w:numPr>
        <w:spacing w:after="90" w:line="276"/>
      </w:pPr>
      <w:r>
        <w:rPr>
          <w:rFonts w:ascii="Calibri" w:cs="Calibri" w:eastAsia="Calibri" w:hAnsi="Calibri"/>
          <w:b/>
          <w:bCs/>
          <w:color w:val="1A1A1A"/>
          <w:sz w:val="21"/>
          <w:szCs w:val="21"/>
        </w:rPr>
        <w:t xml:space="preserve">Part II — Company-Wide Policies: </w:t>
      </w:r>
      <w:r>
        <w:rPr>
          <w:rFonts w:ascii="Calibri" w:cs="Calibri" w:eastAsia="Calibri" w:hAnsi="Calibri"/>
          <w:color w:val="1A1A1A"/>
          <w:sz w:val="21"/>
          <w:szCs w:val="21"/>
        </w:rPr>
        <w:t xml:space="preserve">the rules that apply to every single staff member, including our Code of Conduct, Confidentiality &amp; Non-Disclosure obligations, Data Privacy &amp; Protection Policy, Acceptable Use policy, Information Security basics, our Anti-Harassment &amp; Safeguarding Policy, and our core HR policies (leave, discipline, dress code, and more).</w:t>
      </w:r>
    </w:p>
    <w:p>
      <w:pPr>
        <w:pStyle w:val="ListParagraph"/>
        <w:numPr>
          <w:ilvl w:val="0"/>
          <w:numId w:val="2"/>
        </w:numPr>
        <w:spacing w:after="90" w:line="276"/>
      </w:pPr>
      <w:r>
        <w:rPr>
          <w:rFonts w:ascii="Calibri" w:cs="Calibri" w:eastAsia="Calibri" w:hAnsi="Calibri"/>
          <w:b/>
          <w:bCs/>
          <w:color w:val="1A1A1A"/>
          <w:sz w:val="21"/>
          <w:szCs w:val="21"/>
        </w:rPr>
        <w:t xml:space="preserve">Part III — Role-Specific Training: </w:t>
      </w:r>
      <w:r>
        <w:rPr>
          <w:rFonts w:ascii="Calibri" w:cs="Calibri" w:eastAsia="Calibri" w:hAnsi="Calibri"/>
          <w:color w:val="1A1A1A"/>
          <w:sz w:val="21"/>
          <w:szCs w:val="21"/>
        </w:rPr>
        <w:t xml:space="preserve">dedicated training modules for Sales Associates, Administrative Staff, and Teachers.</w:t>
      </w:r>
    </w:p>
    <w:p>
      <w:pPr>
        <w:pStyle w:val="ListParagraph"/>
        <w:numPr>
          <w:ilvl w:val="0"/>
          <w:numId w:val="2"/>
        </w:numPr>
        <w:spacing w:after="90" w:line="276"/>
      </w:pPr>
      <w:r>
        <w:rPr>
          <w:rFonts w:ascii="Calibri" w:cs="Calibri" w:eastAsia="Calibri" w:hAnsi="Calibri"/>
          <w:b/>
          <w:bCs/>
          <w:color w:val="1A1A1A"/>
          <w:sz w:val="21"/>
          <w:szCs w:val="21"/>
        </w:rPr>
        <w:t xml:space="preserve">Part IV — Compliance, Acknowledgment &amp; Sign-Off: </w:t>
      </w:r>
      <w:r>
        <w:rPr>
          <w:rFonts w:ascii="Calibri" w:cs="Calibri" w:eastAsia="Calibri" w:hAnsi="Calibri"/>
          <w:color w:val="1A1A1A"/>
          <w:sz w:val="21"/>
          <w:szCs w:val="21"/>
        </w:rPr>
        <w:t xml:space="preserve">a summary checklist and the signature page every staff member must complete.</w:t>
      </w:r>
    </w:p>
    <w:p>
      <w:pPr>
        <w:pStyle w:val="Heading3"/>
        <w:spacing w:after="120" w:before="260"/>
      </w:pPr>
      <w:r>
        <w:rPr>
          <w:rFonts w:ascii="Calibri" w:cs="Calibri" w:eastAsia="Calibri" w:hAnsi="Calibri"/>
          <w:b/>
          <w:bCs/>
          <w:i w:val="false"/>
          <w:iCs w:val="false"/>
          <w:color w:val="1D6B45"/>
          <w:sz w:val="23"/>
          <w:szCs w:val="23"/>
        </w:rPr>
        <w:t xml:space="preserve">Periodic review</w:t>
      </w:r>
    </w:p>
    <w:p>
      <w:pPr>
        <w:spacing w:after="160" w:line="276"/>
        <w:jc w:val="both"/>
      </w:pPr>
      <w:r>
        <w:rPr>
          <w:rFonts w:ascii="Calibri" w:cs="Calibri" w:eastAsia="Calibri" w:hAnsi="Calibri"/>
          <w:b w:val="false"/>
          <w:bCs w:val="false"/>
          <w:i w:val="false"/>
          <w:iCs w:val="false"/>
          <w:color w:val="1A1A1A"/>
          <w:sz w:val="21"/>
          <w:szCs w:val="21"/>
        </w:rPr>
        <w:t xml:space="preserve">This handbook is reviewed by Company leadership at least once every twelve (12) months, and on an ad-hoc basis whenever: (a) Jamaican law relevant to our operations changes; (b) the EduJA platform's features, data practices, or third-party service providers change in a way that affects staff duties; or (c) an incident or audit finding shows a policy needs to be strengthened or clarified.</w:t>
      </w:r>
    </w:p>
    <w:p>
      <w:pPr>
        <w:spacing w:after="160" w:line="276"/>
        <w:jc w:val="both"/>
      </w:pPr>
      <w:r>
        <w:rPr>
          <w:rFonts w:ascii="Calibri" w:cs="Calibri" w:eastAsia="Calibri" w:hAnsi="Calibri"/>
          <w:b w:val="false"/>
          <w:bCs w:val="false"/>
          <w:i w:val="false"/>
          <w:iCs w:val="false"/>
          <w:color w:val="1A1A1A"/>
          <w:sz w:val="21"/>
          <w:szCs w:val="21"/>
        </w:rPr>
        <w:t xml:space="preserve">Each review is logged in the Revision History table on the Document Control page. Where a review results in a material change — meaning a change a reasonable staff member would need to know about to do their job correctly or stay compliant — every affected staff member will be given the updated handbook (or the updated section) and asked to sign a fresh acknowledgment. Minor edits (formatting, typo fixes, clarifications that do not change a policy's substance) do not require re-signature but are still logged.</w:t>
      </w:r>
    </w:p>
    <w:p>
      <w:pPr>
        <w:spacing w:after="160" w:line="276"/>
        <w:jc w:val="both"/>
      </w:pPr>
      <w:r>
        <w:rPr>
          <w:rFonts w:ascii="Calibri" w:cs="Calibri" w:eastAsia="Calibri" w:hAnsi="Calibri"/>
          <w:b w:val="false"/>
          <w:bCs w:val="false"/>
          <w:i w:val="false"/>
          <w:iCs w:val="false"/>
          <w:color w:val="1A1A1A"/>
          <w:sz w:val="21"/>
          <w:szCs w:val="21"/>
        </w:rPr>
        <w:t xml:space="preserve">Staff are individually responsible for reading updates when notified and for raising questions about anything unclear. “I didn't read the update” is not a defense to a policy violation once the Company has issued and communicated a new version.</w:t>
      </w:r>
    </w:p>
    <w:p>
      <w:r>
        <w:br w:type="page"/>
      </w:r>
    </w:p>
    <w:p>
      <w:pPr>
        <w:pStyle w:val="Heading1"/>
        <w:pBdr>
          <w:bottom w:val="single" w:color="14532D" w:sz="8" w:space="6"/>
        </w:pBdr>
        <w:spacing w:after="240" w:before="480"/>
      </w:pPr>
      <w:r>
        <w:rPr>
          <w:rFonts w:ascii="Cambria" w:cs="Cambria" w:eastAsia="Cambria" w:hAnsi="Cambria"/>
          <w:b/>
          <w:bCs/>
          <w:color w:val="14532D"/>
          <w:sz w:val="32"/>
          <w:szCs w:val="32"/>
        </w:rPr>
        <w:t xml:space="preserve">PART II — COMPANY-WIDE POLICIES</w:t>
      </w:r>
    </w:p>
    <w:p>
      <w:pPr>
        <w:spacing w:after="160" w:line="276"/>
        <w:jc w:val="both"/>
      </w:pPr>
      <w:r>
        <w:rPr>
          <w:rFonts w:ascii="Calibri" w:cs="Calibri" w:eastAsia="Calibri" w:hAnsi="Calibri"/>
          <w:i/>
          <w:iCs/>
          <w:color w:val="1A1A1A"/>
          <w:sz w:val="21"/>
          <w:szCs w:val="21"/>
        </w:rPr>
        <w:t xml:space="preserve">The policies in this Part apply to every person covered by this handbook (see §2), regardless of role. Parts III adds training and rules specific to Sales, Administration, and Teaching.</w:t>
      </w:r>
    </w:p>
    <w:p>
      <w:pPr>
        <w:pStyle w:val="Heading2"/>
        <w:spacing w:after="160" w:before="360"/>
      </w:pPr>
      <w:r>
        <w:rPr>
          <w:rFonts w:ascii="Cambria" w:cs="Cambria" w:eastAsia="Cambria" w:hAnsi="Cambria"/>
          <w:b/>
          <w:bCs/>
          <w:color w:val="1A1A1A"/>
          <w:sz w:val="25"/>
          <w:szCs w:val="25"/>
        </w:rPr>
        <w:t xml:space="preserve">4. Code of Conduct &amp; Professional Standards</w:t>
      </w:r>
    </w:p>
    <w:p>
      <w:pPr>
        <w:spacing w:after="160" w:line="276"/>
        <w:jc w:val="both"/>
      </w:pPr>
      <w:r>
        <w:rPr>
          <w:rFonts w:ascii="Calibri" w:cs="Calibri" w:eastAsia="Calibri" w:hAnsi="Calibri"/>
          <w:b w:val="false"/>
          <w:bCs w:val="false"/>
          <w:i w:val="false"/>
          <w:iCs w:val="false"/>
          <w:color w:val="1A1A1A"/>
          <w:sz w:val="21"/>
          <w:szCs w:val="21"/>
        </w:rPr>
        <w:t xml:space="preserve">Ohana Jamaica Limited's reputation rests on the professionalism of every person who represents it — in person, by phone, on WhatsApp, in the EduJA portal, or on social media. We expect every staff member to:</w:t>
      </w:r>
    </w:p>
    <w:p>
      <w:pPr>
        <w:pStyle w:val="ListParagraph"/>
        <w:numPr>
          <w:ilvl w:val="0"/>
          <w:numId w:val="2"/>
        </w:numPr>
        <w:spacing w:after="90" w:line="276"/>
      </w:pPr>
      <w:r>
        <w:rPr>
          <w:rFonts w:ascii="Calibri" w:cs="Calibri" w:eastAsia="Calibri" w:hAnsi="Calibri"/>
          <w:color w:val="1A1A1A"/>
          <w:sz w:val="21"/>
          <w:szCs w:val="21"/>
        </w:rPr>
        <w:t xml:space="preserve">Act honestly and with integrity in every interaction with students, parents, guardians, colleagues, and the public.</w:t>
      </w:r>
    </w:p>
    <w:p>
      <w:pPr>
        <w:pStyle w:val="ListParagraph"/>
        <w:numPr>
          <w:ilvl w:val="0"/>
          <w:numId w:val="2"/>
        </w:numPr>
        <w:spacing w:after="90" w:line="276"/>
      </w:pPr>
      <w:r>
        <w:rPr>
          <w:rFonts w:ascii="Calibri" w:cs="Calibri" w:eastAsia="Calibri" w:hAnsi="Calibri"/>
          <w:color w:val="1A1A1A"/>
          <w:sz w:val="21"/>
          <w:szCs w:val="21"/>
        </w:rPr>
        <w:t xml:space="preserve">Treat every person — students, families, colleagues, and members of the public — with courtesy and respect, regardless of their background, and without discrimination on the basis of race, colour, gender, age, religion, disability, national origin, or any other status protected by Jamaican law.</w:t>
      </w:r>
    </w:p>
    <w:p>
      <w:pPr>
        <w:pStyle w:val="ListParagraph"/>
        <w:numPr>
          <w:ilvl w:val="0"/>
          <w:numId w:val="2"/>
        </w:numPr>
        <w:spacing w:after="90" w:line="276"/>
      </w:pPr>
      <w:r>
        <w:rPr>
          <w:rFonts w:ascii="Calibri" w:cs="Calibri" w:eastAsia="Calibri" w:hAnsi="Calibri"/>
          <w:color w:val="1A1A1A"/>
          <w:sz w:val="21"/>
          <w:szCs w:val="21"/>
        </w:rPr>
        <w:t xml:space="preserve">Be punctual and reliable — for scheduled classes and calls, office hours, and internal meetings.</w:t>
      </w:r>
    </w:p>
    <w:p>
      <w:pPr>
        <w:pStyle w:val="ListParagraph"/>
        <w:numPr>
          <w:ilvl w:val="0"/>
          <w:numId w:val="2"/>
        </w:numPr>
        <w:spacing w:after="90" w:line="276"/>
      </w:pPr>
      <w:r>
        <w:rPr>
          <w:rFonts w:ascii="Calibri" w:cs="Calibri" w:eastAsia="Calibri" w:hAnsi="Calibri"/>
          <w:color w:val="1A1A1A"/>
          <w:sz w:val="21"/>
          <w:szCs w:val="21"/>
        </w:rPr>
        <w:t xml:space="preserve">Represent EduJA and its curriculum, features, and pricing honestly. Do not overstate what the platform does or guarantee academic outcomes it cannot guarantee (see §13 for sales-specific standards).</w:t>
      </w:r>
    </w:p>
    <w:p>
      <w:pPr>
        <w:pStyle w:val="ListParagraph"/>
        <w:numPr>
          <w:ilvl w:val="0"/>
          <w:numId w:val="2"/>
        </w:numPr>
        <w:spacing w:after="90" w:line="276"/>
      </w:pPr>
      <w:r>
        <w:rPr>
          <w:rFonts w:ascii="Calibri" w:cs="Calibri" w:eastAsia="Calibri" w:hAnsi="Calibri"/>
          <w:color w:val="1A1A1A"/>
          <w:sz w:val="21"/>
          <w:szCs w:val="21"/>
        </w:rPr>
        <w:t xml:space="preserve">Avoid conflicts of interest. Tell your supervisor if you, a family member, or a close associate stands to personally benefit from a Company decision you are involved in (for example, awarding a contract, approving a refund, or hiring a relative).</w:t>
      </w:r>
    </w:p>
    <w:p>
      <w:pPr>
        <w:pStyle w:val="ListParagraph"/>
        <w:numPr>
          <w:ilvl w:val="0"/>
          <w:numId w:val="2"/>
        </w:numPr>
        <w:spacing w:after="90" w:line="276"/>
      </w:pPr>
      <w:r>
        <w:rPr>
          <w:rFonts w:ascii="Calibri" w:cs="Calibri" w:eastAsia="Calibri" w:hAnsi="Calibri"/>
          <w:color w:val="1A1A1A"/>
          <w:sz w:val="21"/>
          <w:szCs w:val="21"/>
        </w:rPr>
        <w:t xml:space="preserve">Never solicit or accept gifts, cash, or favours from a student, parent, vendor, or customer in exchange for preferential treatment, a discount outside the approved schedule, or any other special consideration.</w:t>
      </w:r>
    </w:p>
    <w:p>
      <w:pPr>
        <w:pStyle w:val="ListParagraph"/>
        <w:numPr>
          <w:ilvl w:val="0"/>
          <w:numId w:val="2"/>
        </w:numPr>
        <w:spacing w:after="90" w:line="276"/>
      </w:pPr>
      <w:r>
        <w:rPr>
          <w:rFonts w:ascii="Calibri" w:cs="Calibri" w:eastAsia="Calibri" w:hAnsi="Calibri"/>
          <w:color w:val="1A1A1A"/>
          <w:sz w:val="21"/>
          <w:szCs w:val="21"/>
        </w:rPr>
        <w:t xml:space="preserve">Use good judgment and a professional tone on any social media account that identifies you as an EduJA staff member, and never post confidential Company or student information publicly.</w:t>
      </w:r>
    </w:p>
    <w:p>
      <w:pPr>
        <w:pStyle w:val="ListParagraph"/>
        <w:numPr>
          <w:ilvl w:val="0"/>
          <w:numId w:val="2"/>
        </w:numPr>
        <w:spacing w:after="90" w:line="276"/>
      </w:pPr>
      <w:r>
        <w:rPr>
          <w:rFonts w:ascii="Calibri" w:cs="Calibri" w:eastAsia="Calibri" w:hAnsi="Calibri"/>
          <w:color w:val="1A1A1A"/>
          <w:sz w:val="21"/>
          <w:szCs w:val="21"/>
        </w:rPr>
        <w:t xml:space="preserve">Comply with all applicable Jamaican laws and this handbook, and raise concerns about conduct — your own or someone else's — promptly with a supervisor.</w:t>
      </w:r>
    </w:p>
    <w:tbl>
      <w:tblPr>
        <w:tblW w:type="dxa" w:w="9350"/>
        <w:tblBorders>
          <w:top w:val="single" w:color="14532D" w:sz="4"/>
          <w:left w:val="single" w:color="14532D" w:sz="24"/>
          <w:bottom w:val="single" w:color="14532D" w:sz="4"/>
          <w:right w:val="single" w:color="14532D" w:sz="4"/>
          <w:insideH w:val="none" w:color="FFFFFF" w:sz="0"/>
          <w:insideV w:val="none" w:color="FFFFFF" w:sz="0"/>
        </w:tblBorders>
      </w:tblPr>
      <w:tblGrid>
        <w:gridCol w:w="9350"/>
      </w:tblGrid>
      <w:tr>
        <w:tc>
          <w:tcPr>
            <w:tcW w:type="dxa" w:w="9350"/>
            <w:shd w:fill="E8F1EC" w:color="auto" w:val="clear"/>
            <w:tcMar>
              <w:top w:type="dxa" w:w="160"/>
              <w:left w:type="dxa" w:w="220"/>
              <w:bottom w:type="dxa" w:w="160"/>
              <w:right w:type="dxa" w:w="220"/>
            </w:tcMar>
          </w:tcPr>
          <w:p>
            <w:pPr>
              <w:spacing w:after="80"/>
            </w:pPr>
            <w:r>
              <w:rPr>
                <w:rFonts w:ascii="Calibri" w:cs="Calibri" w:eastAsia="Calibri" w:hAnsi="Calibri"/>
                <w:b/>
                <w:bCs/>
                <w:color w:val="14532D"/>
                <w:sz w:val="21"/>
                <w:szCs w:val="21"/>
              </w:rPr>
              <w:t xml:space="preserve">Escalation &amp; reporting</w:t>
            </w:r>
          </w:p>
          <w:p>
            <w:pPr>
              <w:spacing w:after="80" w:line="264"/>
            </w:pPr>
            <w:r>
              <w:rPr>
                <w:rFonts w:ascii="Calibri" w:cs="Calibri" w:eastAsia="Calibri" w:hAnsi="Calibri"/>
                <w:color w:val="1A1A1A"/>
                <w:sz w:val="20"/>
                <w:szCs w:val="20"/>
              </w:rPr>
              <w:t xml:space="preserve">If you are unsure whether something is appropriate, ask before you act, not after.</w:t>
            </w:r>
          </w:p>
          <w:p>
            <w:pPr>
              <w:spacing w:after="80" w:line="264"/>
            </w:pPr>
            <w:r>
              <w:rPr>
                <w:rFonts w:ascii="Calibri" w:cs="Calibri" w:eastAsia="Calibri" w:hAnsi="Calibri"/>
                <w:color w:val="1A1A1A"/>
                <w:sz w:val="20"/>
                <w:szCs w:val="20"/>
              </w:rPr>
              <w:t xml:space="preserve">If you witness or suspect a violation of this Code — by a colleague, contractor, or manager — report it to your supervisor or directly to the CEO. Reports made in good faith will not result in retaliation against the person who raised them (see §9).</w:t>
            </w:r>
          </w:p>
        </w:tc>
      </w:tr>
    </w:tbl>
    <w:p>
      <w:pPr>
        <w:pStyle w:val="Heading2"/>
        <w:spacing w:after="160" w:before="360"/>
      </w:pPr>
      <w:r>
        <w:rPr>
          <w:rFonts w:ascii="Cambria" w:cs="Cambria" w:eastAsia="Cambria" w:hAnsi="Cambria"/>
          <w:b/>
          <w:bCs/>
          <w:color w:val="1A1A1A"/>
          <w:sz w:val="25"/>
          <w:szCs w:val="25"/>
        </w:rPr>
        <w:t xml:space="preserve">5. Confidentiality &amp; Non-Disclosure</w:t>
      </w:r>
    </w:p>
    <w:p>
      <w:pPr>
        <w:spacing w:after="160" w:line="276"/>
        <w:jc w:val="both"/>
      </w:pPr>
      <w:r>
        <w:rPr>
          <w:rFonts w:ascii="Calibri" w:cs="Calibri" w:eastAsia="Calibri" w:hAnsi="Calibri"/>
          <w:b w:val="false"/>
          <w:bCs w:val="false"/>
          <w:i w:val="false"/>
          <w:iCs w:val="false"/>
          <w:color w:val="1A1A1A"/>
          <w:sz w:val="21"/>
          <w:szCs w:val="21"/>
        </w:rPr>
        <w:t xml:space="preserve">In the course of your work you will have access to information that is sensitive, valuable, and, in many cases, legally protected. This section is a binding confidentiality and non-disclosure commitment. By signing the acknowledgment in Part IV, you agree to everything in this section as a condition of your engagement with the Company.</w:t>
      </w:r>
    </w:p>
    <w:p>
      <w:pPr>
        <w:pStyle w:val="Heading3"/>
        <w:spacing w:after="120" w:before="260"/>
      </w:pPr>
      <w:r>
        <w:rPr>
          <w:rFonts w:ascii="Calibri" w:cs="Calibri" w:eastAsia="Calibri" w:hAnsi="Calibri"/>
          <w:b/>
          <w:bCs/>
          <w:i w:val="false"/>
          <w:iCs w:val="false"/>
          <w:color w:val="1D6B45"/>
          <w:sz w:val="23"/>
          <w:szCs w:val="23"/>
        </w:rPr>
        <w:t xml:space="preserve">5.1 What counts as Confidential Information</w:t>
      </w:r>
    </w:p>
    <w:p>
      <w:pPr>
        <w:spacing w:after="160" w:line="276"/>
        <w:jc w:val="both"/>
      </w:pPr>
      <w:r>
        <w:rPr>
          <w:rFonts w:ascii="Calibri" w:cs="Calibri" w:eastAsia="Calibri" w:hAnsi="Calibri"/>
          <w:b w:val="false"/>
          <w:bCs w:val="false"/>
          <w:i w:val="false"/>
          <w:iCs w:val="false"/>
          <w:color w:val="1A1A1A"/>
          <w:sz w:val="21"/>
          <w:szCs w:val="21"/>
        </w:rPr>
        <w:t xml:space="preserve">“Confidential Information” means any non-public information you obtain, create, or have access to as a result of your work with the Company, including but not limited to:</w:t>
      </w:r>
    </w:p>
    <w:p>
      <w:pPr>
        <w:pStyle w:val="ListParagraph"/>
        <w:numPr>
          <w:ilvl w:val="0"/>
          <w:numId w:val="2"/>
        </w:numPr>
        <w:spacing w:after="90" w:line="276"/>
      </w:pPr>
      <w:r>
        <w:rPr>
          <w:rFonts w:ascii="Calibri" w:cs="Calibri" w:eastAsia="Calibri" w:hAnsi="Calibri"/>
          <w:color w:val="1A1A1A"/>
          <w:sz w:val="21"/>
          <w:szCs w:val="21"/>
        </w:rPr>
        <w:t xml:space="preserve">Personal data of students, parents, and guardians — names, contact details, dates of birth, grades, academic performance, payment and subscription history, messages exchanged on the platform, and any other data described in §6 of this handbook.</w:t>
      </w:r>
    </w:p>
    <w:p>
      <w:pPr>
        <w:pStyle w:val="ListParagraph"/>
        <w:numPr>
          <w:ilvl w:val="0"/>
          <w:numId w:val="2"/>
        </w:numPr>
        <w:spacing w:after="90" w:line="276"/>
      </w:pPr>
      <w:r>
        <w:rPr>
          <w:rFonts w:ascii="Calibri" w:cs="Calibri" w:eastAsia="Calibri" w:hAnsi="Calibri"/>
          <w:color w:val="1A1A1A"/>
          <w:sz w:val="21"/>
          <w:szCs w:val="21"/>
        </w:rPr>
        <w:t xml:space="preserve">Customer and prospect lists, sales pipelines, leads, and contact databases.</w:t>
      </w:r>
    </w:p>
    <w:p>
      <w:pPr>
        <w:pStyle w:val="ListParagraph"/>
        <w:numPr>
          <w:ilvl w:val="0"/>
          <w:numId w:val="2"/>
        </w:numPr>
        <w:spacing w:after="90" w:line="276"/>
      </w:pPr>
      <w:r>
        <w:rPr>
          <w:rFonts w:ascii="Calibri" w:cs="Calibri" w:eastAsia="Calibri" w:hAnsi="Calibri"/>
          <w:color w:val="1A1A1A"/>
          <w:sz w:val="21"/>
          <w:szCs w:val="21"/>
        </w:rPr>
        <w:t xml:space="preserve">Financial information — pricing strategy, revenue, costs, commission structures, bank details, and payment records.</w:t>
      </w:r>
    </w:p>
    <w:p>
      <w:pPr>
        <w:pStyle w:val="ListParagraph"/>
        <w:numPr>
          <w:ilvl w:val="0"/>
          <w:numId w:val="2"/>
        </w:numPr>
        <w:spacing w:after="90" w:line="276"/>
      </w:pPr>
      <w:r>
        <w:rPr>
          <w:rFonts w:ascii="Calibri" w:cs="Calibri" w:eastAsia="Calibri" w:hAnsi="Calibri"/>
          <w:color w:val="1A1A1A"/>
          <w:sz w:val="21"/>
          <w:szCs w:val="21"/>
        </w:rPr>
        <w:t xml:space="preserve">Curriculum content, lesson plans, question banks, and other instructional materials developed for or by the Company.</w:t>
      </w:r>
    </w:p>
    <w:p>
      <w:pPr>
        <w:pStyle w:val="ListParagraph"/>
        <w:numPr>
          <w:ilvl w:val="0"/>
          <w:numId w:val="2"/>
        </w:numPr>
        <w:spacing w:after="90" w:line="276"/>
      </w:pPr>
      <w:r>
        <w:rPr>
          <w:rFonts w:ascii="Calibri" w:cs="Calibri" w:eastAsia="Calibri" w:hAnsi="Calibri"/>
          <w:color w:val="1A1A1A"/>
          <w:sz w:val="21"/>
          <w:szCs w:val="21"/>
        </w:rPr>
        <w:t xml:space="preserve">Business plans, marketing strategy, vendor and partner agreements, and unreleased product features.</w:t>
      </w:r>
    </w:p>
    <w:p>
      <w:pPr>
        <w:pStyle w:val="ListParagraph"/>
        <w:numPr>
          <w:ilvl w:val="0"/>
          <w:numId w:val="2"/>
        </w:numPr>
        <w:spacing w:after="90" w:line="276"/>
      </w:pPr>
      <w:r>
        <w:rPr>
          <w:rFonts w:ascii="Calibri" w:cs="Calibri" w:eastAsia="Calibri" w:hAnsi="Calibri"/>
          <w:color w:val="1A1A1A"/>
          <w:sz w:val="21"/>
          <w:szCs w:val="21"/>
        </w:rPr>
        <w:t xml:space="preserve">Technical information — source code, system architecture, admin dashboard access, API keys, passwords, and login credentials.</w:t>
      </w:r>
    </w:p>
    <w:p>
      <w:pPr>
        <w:pStyle w:val="ListParagraph"/>
        <w:numPr>
          <w:ilvl w:val="0"/>
          <w:numId w:val="2"/>
        </w:numPr>
        <w:spacing w:after="90" w:line="276"/>
      </w:pPr>
      <w:r>
        <w:rPr>
          <w:rFonts w:ascii="Calibri" w:cs="Calibri" w:eastAsia="Calibri" w:hAnsi="Calibri"/>
          <w:color w:val="1A1A1A"/>
          <w:sz w:val="21"/>
          <w:szCs w:val="21"/>
        </w:rPr>
        <w:t xml:space="preserve">Any information the Company marks or reasonably describes to you as confidential or proprietary, whether in writing, electronically, or orally.</w:t>
      </w:r>
    </w:p>
    <w:p>
      <w:pPr>
        <w:pStyle w:val="Heading3"/>
        <w:spacing w:after="120" w:before="260"/>
      </w:pPr>
      <w:r>
        <w:rPr>
          <w:rFonts w:ascii="Calibri" w:cs="Calibri" w:eastAsia="Calibri" w:hAnsi="Calibri"/>
          <w:b/>
          <w:bCs/>
          <w:i w:val="false"/>
          <w:iCs w:val="false"/>
          <w:color w:val="1D6B45"/>
          <w:sz w:val="23"/>
          <w:szCs w:val="23"/>
        </w:rPr>
        <w:t xml:space="preserve">5.2 Your obligations</w:t>
      </w:r>
    </w:p>
    <w:p>
      <w:pPr>
        <w:pStyle w:val="ListParagraph"/>
        <w:numPr>
          <w:ilvl w:val="0"/>
          <w:numId w:val="3"/>
        </w:numPr>
        <w:spacing w:after="100" w:line="276"/>
      </w:pPr>
      <w:r>
        <w:rPr>
          <w:rFonts w:ascii="Calibri" w:cs="Calibri" w:eastAsia="Calibri" w:hAnsi="Calibri"/>
          <w:color w:val="1A1A1A"/>
          <w:sz w:val="21"/>
          <w:szCs w:val="21"/>
        </w:rPr>
        <w:t xml:space="preserve">Use Confidential Information only for the purpose of performing your work for the Company — never for personal benefit, to benefit a third party, or to compete with the Company.</w:t>
      </w:r>
    </w:p>
    <w:p>
      <w:pPr>
        <w:pStyle w:val="ListParagraph"/>
        <w:numPr>
          <w:ilvl w:val="0"/>
          <w:numId w:val="3"/>
        </w:numPr>
        <w:spacing w:after="100" w:line="276"/>
      </w:pPr>
      <w:r>
        <w:rPr>
          <w:rFonts w:ascii="Calibri" w:cs="Calibri" w:eastAsia="Calibri" w:hAnsi="Calibri"/>
          <w:color w:val="1A1A1A"/>
          <w:sz w:val="21"/>
          <w:szCs w:val="21"/>
        </w:rPr>
        <w:t xml:space="preserve">Do not disclose Confidential Information to anyone outside the Company — including friends, family, other businesses, or on social media — without prior written authorization from a supervisor or the CEO.</w:t>
      </w:r>
    </w:p>
    <w:p>
      <w:pPr>
        <w:pStyle w:val="ListParagraph"/>
        <w:numPr>
          <w:ilvl w:val="0"/>
          <w:numId w:val="3"/>
        </w:numPr>
        <w:spacing w:after="100" w:line="276"/>
      </w:pPr>
      <w:r>
        <w:rPr>
          <w:rFonts w:ascii="Calibri" w:cs="Calibri" w:eastAsia="Calibri" w:hAnsi="Calibri"/>
          <w:color w:val="1A1A1A"/>
          <w:sz w:val="21"/>
          <w:szCs w:val="21"/>
        </w:rPr>
        <w:t xml:space="preserve">Do not disclose Confidential Information to colleagues who do not need it to do their own job (a “need to know” basis applies even internally).</w:t>
      </w:r>
    </w:p>
    <w:p>
      <w:pPr>
        <w:pStyle w:val="ListParagraph"/>
        <w:numPr>
          <w:ilvl w:val="0"/>
          <w:numId w:val="3"/>
        </w:numPr>
        <w:spacing w:after="100" w:line="276"/>
      </w:pPr>
      <w:r>
        <w:rPr>
          <w:rFonts w:ascii="Calibri" w:cs="Calibri" w:eastAsia="Calibri" w:hAnsi="Calibri"/>
          <w:color w:val="1A1A1A"/>
          <w:sz w:val="21"/>
          <w:szCs w:val="21"/>
        </w:rPr>
        <w:t xml:space="preserve">Take reasonable care to prevent accidental disclosure — for example, do not discuss student or customer details where others can overhear, do not leave screens unlocked or documents visible to visitors, and do not send Confidential Information to personal email addresses, personal devices, or personal cloud storage.</w:t>
      </w:r>
    </w:p>
    <w:p>
      <w:pPr>
        <w:pStyle w:val="ListParagraph"/>
        <w:numPr>
          <w:ilvl w:val="0"/>
          <w:numId w:val="3"/>
        </w:numPr>
        <w:spacing w:after="100" w:line="276"/>
      </w:pPr>
      <w:r>
        <w:rPr>
          <w:rFonts w:ascii="Calibri" w:cs="Calibri" w:eastAsia="Calibri" w:hAnsi="Calibri"/>
          <w:color w:val="1A1A1A"/>
          <w:sz w:val="21"/>
          <w:szCs w:val="21"/>
        </w:rPr>
        <w:t xml:space="preserve">These obligations continue after your employment or engagement with the Company ends, for as long as the information remains confidential and not publicly known through no fault of yours.</w:t>
      </w:r>
    </w:p>
    <w:p>
      <w:pPr>
        <w:pStyle w:val="ListParagraph"/>
        <w:numPr>
          <w:ilvl w:val="0"/>
          <w:numId w:val="3"/>
        </w:numPr>
        <w:spacing w:after="100" w:line="276"/>
      </w:pPr>
      <w:r>
        <w:rPr>
          <w:rFonts w:ascii="Calibri" w:cs="Calibri" w:eastAsia="Calibri" w:hAnsi="Calibri"/>
          <w:color w:val="1A1A1A"/>
          <w:sz w:val="21"/>
          <w:szCs w:val="21"/>
        </w:rPr>
        <w:t xml:space="preserve">On separation from the Company, or at any time on request, you must return or permanently delete all Confidential Information and Company property in your possession, including files, devices, credentials, and physical documents, and confirm in writing that you have done so.</w:t>
      </w:r>
    </w:p>
    <w:p>
      <w:pPr>
        <w:pStyle w:val="Heading3"/>
        <w:spacing w:after="120" w:before="260"/>
      </w:pPr>
      <w:r>
        <w:rPr>
          <w:rFonts w:ascii="Calibri" w:cs="Calibri" w:eastAsia="Calibri" w:hAnsi="Calibri"/>
          <w:b/>
          <w:bCs/>
          <w:i w:val="false"/>
          <w:iCs w:val="false"/>
          <w:color w:val="1D6B45"/>
          <w:sz w:val="23"/>
          <w:szCs w:val="23"/>
        </w:rPr>
        <w:t xml:space="preserve">5.3 What is not covered</w:t>
      </w:r>
    </w:p>
    <w:p>
      <w:pPr>
        <w:spacing w:after="160" w:line="276"/>
        <w:jc w:val="both"/>
      </w:pPr>
      <w:r>
        <w:rPr>
          <w:rFonts w:ascii="Calibri" w:cs="Calibri" w:eastAsia="Calibri" w:hAnsi="Calibri"/>
          <w:b w:val="false"/>
          <w:bCs w:val="false"/>
          <w:i w:val="false"/>
          <w:iCs w:val="false"/>
          <w:color w:val="1A1A1A"/>
          <w:sz w:val="21"/>
          <w:szCs w:val="21"/>
        </w:rPr>
        <w:t xml:space="preserve">This obligation does not restrict you from: discussing your own wages, hours, or working conditions with coworkers or others, to the extent protected by law; reporting suspected illegal conduct to a government authority or regulator; or disclosing information that is already lawfully public through no breach of this policy.</w:t>
      </w:r>
    </w:p>
    <w:p>
      <w:pPr>
        <w:pStyle w:val="Heading3"/>
        <w:spacing w:after="120" w:before="260"/>
      </w:pPr>
      <w:r>
        <w:rPr>
          <w:rFonts w:ascii="Calibri" w:cs="Calibri" w:eastAsia="Calibri" w:hAnsi="Calibri"/>
          <w:b/>
          <w:bCs/>
          <w:i w:val="false"/>
          <w:iCs w:val="false"/>
          <w:color w:val="1D6B45"/>
          <w:sz w:val="23"/>
          <w:szCs w:val="23"/>
        </w:rPr>
        <w:t xml:space="preserve">5.4 Consequences of breach</w:t>
      </w:r>
    </w:p>
    <w:p>
      <w:pPr>
        <w:spacing w:after="160" w:line="276"/>
        <w:jc w:val="both"/>
      </w:pPr>
      <w:r>
        <w:rPr>
          <w:rFonts w:ascii="Calibri" w:cs="Calibri" w:eastAsia="Calibri" w:hAnsi="Calibri"/>
          <w:b w:val="false"/>
          <w:bCs w:val="false"/>
          <w:i w:val="false"/>
          <w:iCs w:val="false"/>
          <w:color w:val="1A1A1A"/>
          <w:sz w:val="21"/>
          <w:szCs w:val="21"/>
        </w:rPr>
        <w:t xml:space="preserve">Unauthorized use or disclosure of Confidential Information is a serious matter. It may result in disciplinary action up to and including termination of employment or engagement (see §10.7), and, particularly where student or customer personal data is involved, may expose you and the Company to legal liability, including under the Data Protection Act, 2020. The Company reserves the right to pursue all available legal remedies, including injunctive relief and damages, against any staff member who breaches this section.</w:t>
      </w:r>
    </w:p>
    <w:p>
      <w:r>
        <w:br w:type="page"/>
      </w:r>
    </w:p>
    <w:p>
      <w:pPr>
        <w:pStyle w:val="Heading2"/>
        <w:spacing w:after="160" w:before="360"/>
      </w:pPr>
      <w:r>
        <w:rPr>
          <w:rFonts w:ascii="Cambria" w:cs="Cambria" w:eastAsia="Cambria" w:hAnsi="Cambria"/>
          <w:b/>
          <w:bCs/>
          <w:color w:val="1A1A1A"/>
          <w:sz w:val="25"/>
          <w:szCs w:val="25"/>
        </w:rPr>
        <w:t xml:space="preserve">6. Data Privacy &amp; Protection Policy</w:t>
      </w:r>
    </w:p>
    <w:p>
      <w:pPr>
        <w:spacing w:after="160" w:line="276"/>
        <w:jc w:val="both"/>
      </w:pPr>
      <w:r>
        <w:rPr>
          <w:rFonts w:ascii="Calibri" w:cs="Calibri" w:eastAsia="Calibri" w:hAnsi="Calibri"/>
          <w:b w:val="false"/>
          <w:bCs w:val="false"/>
          <w:i w:val="false"/>
          <w:iCs w:val="false"/>
          <w:color w:val="1A1A1A"/>
          <w:sz w:val="21"/>
          <w:szCs w:val="21"/>
        </w:rPr>
        <w:t xml:space="preserve">Ohana Jamaica Limited is a data controller under Jamaica's Data Protection Act, 2020 (the “DPA”). We collect personal data from students, parents/guardians, and customers to run EduJA, and every staff member who touches that data — whether in a sales conversation, an admin dashboard, or a teacher's message inbox — is personally responsible for handling it correctly.</w:t>
      </w:r>
    </w:p>
    <w:p>
      <w:pPr>
        <w:pStyle w:val="Heading3"/>
        <w:spacing w:after="120" w:before="260"/>
      </w:pPr>
      <w:r>
        <w:rPr>
          <w:rFonts w:ascii="Calibri" w:cs="Calibri" w:eastAsia="Calibri" w:hAnsi="Calibri"/>
          <w:b/>
          <w:bCs/>
          <w:i w:val="false"/>
          <w:iCs w:val="false"/>
          <w:color w:val="1D6B45"/>
          <w:sz w:val="23"/>
          <w:szCs w:val="23"/>
        </w:rPr>
        <w:t xml:space="preserve">6.1 The eight data protection principles we follow</w:t>
      </w:r>
    </w:p>
    <w:p>
      <w:pPr>
        <w:spacing w:after="160" w:line="276"/>
        <w:jc w:val="both"/>
      </w:pPr>
      <w:r>
        <w:rPr>
          <w:rFonts w:ascii="Calibri" w:cs="Calibri" w:eastAsia="Calibri" w:hAnsi="Calibri"/>
          <w:b w:val="false"/>
          <w:bCs w:val="false"/>
          <w:i w:val="false"/>
          <w:iCs w:val="false"/>
          <w:color w:val="1A1A1A"/>
          <w:sz w:val="21"/>
          <w:szCs w:val="21"/>
        </w:rPr>
        <w:t xml:space="preserve">Jamaican law requires that personal data be:</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600"/>
        <w:gridCol w:w="6750"/>
      </w:tblGrid>
      <w:tr>
        <w:tc>
          <w:tcPr>
            <w:tcW w:type="dxa" w:w="2600"/>
            <w:shd w:fill="14532D" w:color="auto" w:val="clear"/>
            <w:tcMar>
              <w:top w:type="dxa" w:w="90"/>
              <w:left w:type="dxa" w:w="120"/>
              <w:bottom w:type="dxa" w:w="90"/>
              <w:right w:type="dxa" w:w="120"/>
            </w:tcMar>
          </w:tcPr>
          <w:p>
            <w:r>
              <w:rPr>
                <w:rFonts w:ascii="Calibri" w:cs="Calibri" w:eastAsia="Calibri" w:hAnsi="Calibri"/>
                <w:b/>
                <w:bCs/>
                <w:color w:val="FFFFFF"/>
                <w:sz w:val="19"/>
                <w:szCs w:val="19"/>
              </w:rPr>
              <w:t xml:space="preserve">Principle</w:t>
            </w:r>
          </w:p>
        </w:tc>
        <w:tc>
          <w:tcPr>
            <w:tcW w:type="dxa" w:w="6750"/>
            <w:shd w:fill="14532D" w:color="auto" w:val="clear"/>
            <w:tcMar>
              <w:top w:type="dxa" w:w="90"/>
              <w:left w:type="dxa" w:w="120"/>
              <w:bottom w:type="dxa" w:w="90"/>
              <w:right w:type="dxa" w:w="120"/>
            </w:tcMar>
          </w:tcPr>
          <w:p>
            <w:r>
              <w:rPr>
                <w:rFonts w:ascii="Calibri" w:cs="Calibri" w:eastAsia="Calibri" w:hAnsi="Calibri"/>
                <w:b/>
                <w:bCs/>
                <w:color w:val="FFFFFF"/>
                <w:sz w:val="19"/>
                <w:szCs w:val="19"/>
              </w:rPr>
              <w:t xml:space="preserve">What it means in practice at EduJA</w:t>
            </w:r>
          </w:p>
        </w:tc>
      </w:tr>
      <w:tr>
        <w:tc>
          <w:tcPr>
            <w:tcW w:type="dxa" w:w="2600"/>
            <w:tcMar>
              <w:top w:type="dxa" w:w="90"/>
              <w:left w:type="dxa" w:w="120"/>
              <w:bottom w:type="dxa" w:w="90"/>
              <w:right w:type="dxa" w:w="120"/>
            </w:tcMar>
          </w:tcPr>
          <w:p>
            <w:r>
              <w:rPr>
                <w:rFonts w:ascii="Calibri" w:cs="Calibri" w:eastAsia="Calibri" w:hAnsi="Calibri"/>
                <w:b w:val="false"/>
                <w:bCs w:val="false"/>
                <w:color w:val="1A1A1A"/>
                <w:sz w:val="19"/>
                <w:szCs w:val="19"/>
              </w:rPr>
              <w:t xml:space="preserve">1. Fair processing</w:t>
            </w:r>
          </w:p>
        </w:tc>
        <w:tc>
          <w:tcPr>
            <w:tcW w:type="dxa" w:w="6750"/>
            <w:tcMar>
              <w:top w:type="dxa" w:w="90"/>
              <w:left w:type="dxa" w:w="120"/>
              <w:bottom w:type="dxa" w:w="90"/>
              <w:right w:type="dxa" w:w="120"/>
            </w:tcMar>
          </w:tcPr>
          <w:p>
            <w:r>
              <w:rPr>
                <w:rFonts w:ascii="Calibri" w:cs="Calibri" w:eastAsia="Calibri" w:hAnsi="Calibri"/>
                <w:b w:val="false"/>
                <w:bCs w:val="false"/>
                <w:color w:val="1A1A1A"/>
                <w:sz w:val="19"/>
                <w:szCs w:val="19"/>
              </w:rPr>
              <w:t xml:space="preserve">We tell users what we collect and why (see our published Privacy Policy at eduja.org/privacy-policy.html), and we get consent before collecting anything not required for the service, such as analytics.</w:t>
            </w:r>
          </w:p>
        </w:tc>
      </w:tr>
      <w:tr>
        <w:tc>
          <w:tcPr>
            <w:tcW w:type="dxa" w:w="2600"/>
            <w:shd w:fill="F5F8F6" w:color="auto" w:val="clear"/>
            <w:tcMar>
              <w:top w:type="dxa" w:w="90"/>
              <w:left w:type="dxa" w:w="120"/>
              <w:bottom w:type="dxa" w:w="90"/>
              <w:right w:type="dxa" w:w="120"/>
            </w:tcMar>
          </w:tcPr>
          <w:p>
            <w:r>
              <w:rPr>
                <w:rFonts w:ascii="Calibri" w:cs="Calibri" w:eastAsia="Calibri" w:hAnsi="Calibri"/>
                <w:b w:val="false"/>
                <w:bCs w:val="false"/>
                <w:color w:val="1A1A1A"/>
                <w:sz w:val="19"/>
                <w:szCs w:val="19"/>
              </w:rPr>
              <w:t xml:space="preserve">2. Specified purpose</w:t>
            </w:r>
          </w:p>
        </w:tc>
        <w:tc>
          <w:tcPr>
            <w:tcW w:type="dxa" w:w="6750"/>
            <w:shd w:fill="F5F8F6" w:color="auto" w:val="clear"/>
            <w:tcMar>
              <w:top w:type="dxa" w:w="90"/>
              <w:left w:type="dxa" w:w="120"/>
              <w:bottom w:type="dxa" w:w="90"/>
              <w:right w:type="dxa" w:w="120"/>
            </w:tcMar>
          </w:tcPr>
          <w:p>
            <w:r>
              <w:rPr>
                <w:rFonts w:ascii="Calibri" w:cs="Calibri" w:eastAsia="Calibri" w:hAnsi="Calibri"/>
                <w:b w:val="false"/>
                <w:bCs w:val="false"/>
                <w:color w:val="1A1A1A"/>
                <w:sz w:val="19"/>
                <w:szCs w:val="19"/>
              </w:rPr>
              <w:t xml:space="preserve">We only use data for the purpose it was collected for — e.g., a phone number collected for parent/guardian contact is not used for unrelated marketing.</w:t>
            </w:r>
          </w:p>
        </w:tc>
      </w:tr>
      <w:tr>
        <w:tc>
          <w:tcPr>
            <w:tcW w:type="dxa" w:w="2600"/>
            <w:tcMar>
              <w:top w:type="dxa" w:w="90"/>
              <w:left w:type="dxa" w:w="120"/>
              <w:bottom w:type="dxa" w:w="90"/>
              <w:right w:type="dxa" w:w="120"/>
            </w:tcMar>
          </w:tcPr>
          <w:p>
            <w:r>
              <w:rPr>
                <w:rFonts w:ascii="Calibri" w:cs="Calibri" w:eastAsia="Calibri" w:hAnsi="Calibri"/>
                <w:b w:val="false"/>
                <w:bCs w:val="false"/>
                <w:color w:val="1A1A1A"/>
                <w:sz w:val="19"/>
                <w:szCs w:val="19"/>
              </w:rPr>
              <w:t xml:space="preserve">3. Data quality</w:t>
            </w:r>
          </w:p>
        </w:tc>
        <w:tc>
          <w:tcPr>
            <w:tcW w:type="dxa" w:w="6750"/>
            <w:tcMar>
              <w:top w:type="dxa" w:w="90"/>
              <w:left w:type="dxa" w:w="120"/>
              <w:bottom w:type="dxa" w:w="90"/>
              <w:right w:type="dxa" w:w="120"/>
            </w:tcMar>
          </w:tcPr>
          <w:p>
            <w:r>
              <w:rPr>
                <w:rFonts w:ascii="Calibri" w:cs="Calibri" w:eastAsia="Calibri" w:hAnsi="Calibri"/>
                <w:b w:val="false"/>
                <w:bCs w:val="false"/>
                <w:color w:val="1A1A1A"/>
                <w:sz w:val="19"/>
                <w:szCs w:val="19"/>
              </w:rPr>
              <w:t xml:space="preserve">We collect only what we need to run the platform, bill for it, and support the student — not more.</w:t>
            </w:r>
          </w:p>
        </w:tc>
      </w:tr>
      <w:tr>
        <w:tc>
          <w:tcPr>
            <w:tcW w:type="dxa" w:w="2600"/>
            <w:shd w:fill="F5F8F6" w:color="auto" w:val="clear"/>
            <w:tcMar>
              <w:top w:type="dxa" w:w="90"/>
              <w:left w:type="dxa" w:w="120"/>
              <w:bottom w:type="dxa" w:w="90"/>
              <w:right w:type="dxa" w:w="120"/>
            </w:tcMar>
          </w:tcPr>
          <w:p>
            <w:r>
              <w:rPr>
                <w:rFonts w:ascii="Calibri" w:cs="Calibri" w:eastAsia="Calibri" w:hAnsi="Calibri"/>
                <w:b w:val="false"/>
                <w:bCs w:val="false"/>
                <w:color w:val="1A1A1A"/>
                <w:sz w:val="19"/>
                <w:szCs w:val="19"/>
              </w:rPr>
              <w:t xml:space="preserve">4. Accuracy</w:t>
            </w:r>
          </w:p>
        </w:tc>
        <w:tc>
          <w:tcPr>
            <w:tcW w:type="dxa" w:w="6750"/>
            <w:shd w:fill="F5F8F6" w:color="auto" w:val="clear"/>
            <w:tcMar>
              <w:top w:type="dxa" w:w="90"/>
              <w:left w:type="dxa" w:w="120"/>
              <w:bottom w:type="dxa" w:w="90"/>
              <w:right w:type="dxa" w:w="120"/>
            </w:tcMar>
          </w:tcPr>
          <w:p>
            <w:r>
              <w:rPr>
                <w:rFonts w:ascii="Calibri" w:cs="Calibri" w:eastAsia="Calibri" w:hAnsi="Calibri"/>
                <w:b w:val="false"/>
                <w:bCs w:val="false"/>
                <w:color w:val="1A1A1A"/>
                <w:sz w:val="19"/>
                <w:szCs w:val="19"/>
              </w:rPr>
              <w:t xml:space="preserve">Staff must correct inaccurate records promptly when a customer or student reports an error.</w:t>
            </w:r>
          </w:p>
        </w:tc>
      </w:tr>
      <w:tr>
        <w:tc>
          <w:tcPr>
            <w:tcW w:type="dxa" w:w="2600"/>
            <w:tcMar>
              <w:top w:type="dxa" w:w="90"/>
              <w:left w:type="dxa" w:w="120"/>
              <w:bottom w:type="dxa" w:w="90"/>
              <w:right w:type="dxa" w:w="120"/>
            </w:tcMar>
          </w:tcPr>
          <w:p>
            <w:r>
              <w:rPr>
                <w:rFonts w:ascii="Calibri" w:cs="Calibri" w:eastAsia="Calibri" w:hAnsi="Calibri"/>
                <w:b w:val="false"/>
                <w:bCs w:val="false"/>
                <w:color w:val="1A1A1A"/>
                <w:sz w:val="19"/>
                <w:szCs w:val="19"/>
              </w:rPr>
              <w:t xml:space="preserve">5. Limited retention</w:t>
            </w:r>
          </w:p>
        </w:tc>
        <w:tc>
          <w:tcPr>
            <w:tcW w:type="dxa" w:w="6750"/>
            <w:tcMar>
              <w:top w:type="dxa" w:w="90"/>
              <w:left w:type="dxa" w:w="120"/>
              <w:bottom w:type="dxa" w:w="90"/>
              <w:right w:type="dxa" w:w="120"/>
            </w:tcMar>
          </w:tcPr>
          <w:p>
            <w:r>
              <w:rPr>
                <w:rFonts w:ascii="Calibri" w:cs="Calibri" w:eastAsia="Calibri" w:hAnsi="Calibri"/>
                <w:b w:val="false"/>
                <w:bCs w:val="false"/>
                <w:color w:val="1A1A1A"/>
                <w:sz w:val="19"/>
                <w:szCs w:val="19"/>
              </w:rPr>
              <w:t xml:space="preserve">We do not keep personal data longer than needed for the purpose it was collected, or than the law requires.</w:t>
            </w:r>
          </w:p>
        </w:tc>
      </w:tr>
      <w:tr>
        <w:tc>
          <w:tcPr>
            <w:tcW w:type="dxa" w:w="2600"/>
            <w:shd w:fill="F5F8F6" w:color="auto" w:val="clear"/>
            <w:tcMar>
              <w:top w:type="dxa" w:w="90"/>
              <w:left w:type="dxa" w:w="120"/>
              <w:bottom w:type="dxa" w:w="90"/>
              <w:right w:type="dxa" w:w="120"/>
            </w:tcMar>
          </w:tcPr>
          <w:p>
            <w:r>
              <w:rPr>
                <w:rFonts w:ascii="Calibri" w:cs="Calibri" w:eastAsia="Calibri" w:hAnsi="Calibri"/>
                <w:b w:val="false"/>
                <w:bCs w:val="false"/>
                <w:color w:val="1A1A1A"/>
                <w:sz w:val="19"/>
                <w:szCs w:val="19"/>
              </w:rPr>
              <w:t xml:space="preserve">6. Respecting subject rights</w:t>
            </w:r>
          </w:p>
        </w:tc>
        <w:tc>
          <w:tcPr>
            <w:tcW w:type="dxa" w:w="6750"/>
            <w:shd w:fill="F5F8F6" w:color="auto" w:val="clear"/>
            <w:tcMar>
              <w:top w:type="dxa" w:w="90"/>
              <w:left w:type="dxa" w:w="120"/>
              <w:bottom w:type="dxa" w:w="90"/>
              <w:right w:type="dxa" w:w="120"/>
            </w:tcMar>
          </w:tcPr>
          <w:p>
            <w:r>
              <w:rPr>
                <w:rFonts w:ascii="Calibri" w:cs="Calibri" w:eastAsia="Calibri" w:hAnsi="Calibri"/>
                <w:b w:val="false"/>
                <w:bCs w:val="false"/>
                <w:color w:val="1A1A1A"/>
                <w:sz w:val="19"/>
                <w:szCs w:val="19"/>
              </w:rPr>
              <w:t xml:space="preserve">Students, parents, and guardians can request access to, correction of, or deletion of their data (see §6.5).</w:t>
            </w:r>
          </w:p>
        </w:tc>
      </w:tr>
      <w:tr>
        <w:tc>
          <w:tcPr>
            <w:tcW w:type="dxa" w:w="2600"/>
            <w:tcMar>
              <w:top w:type="dxa" w:w="90"/>
              <w:left w:type="dxa" w:w="120"/>
              <w:bottom w:type="dxa" w:w="90"/>
              <w:right w:type="dxa" w:w="120"/>
            </w:tcMar>
          </w:tcPr>
          <w:p>
            <w:r>
              <w:rPr>
                <w:rFonts w:ascii="Calibri" w:cs="Calibri" w:eastAsia="Calibri" w:hAnsi="Calibri"/>
                <w:b w:val="false"/>
                <w:bCs w:val="false"/>
                <w:color w:val="1A1A1A"/>
                <w:sz w:val="19"/>
                <w:szCs w:val="19"/>
              </w:rPr>
              <w:t xml:space="preserve">7. Security</w:t>
            </w:r>
          </w:p>
        </w:tc>
        <w:tc>
          <w:tcPr>
            <w:tcW w:type="dxa" w:w="6750"/>
            <w:tcMar>
              <w:top w:type="dxa" w:w="90"/>
              <w:left w:type="dxa" w:w="120"/>
              <w:bottom w:type="dxa" w:w="90"/>
              <w:right w:type="dxa" w:w="120"/>
            </w:tcMar>
          </w:tcPr>
          <w:p>
            <w:r>
              <w:rPr>
                <w:rFonts w:ascii="Calibri" w:cs="Calibri" w:eastAsia="Calibri" w:hAnsi="Calibri"/>
                <w:b w:val="false"/>
                <w:bCs w:val="false"/>
                <w:color w:val="1A1A1A"/>
                <w:sz w:val="19"/>
                <w:szCs w:val="19"/>
              </w:rPr>
              <w:t xml:space="preserve">Appropriate technical and organizational safeguards are used to prevent unauthorized access, loss, or misuse (see §7).</w:t>
            </w:r>
          </w:p>
        </w:tc>
      </w:tr>
      <w:tr>
        <w:tc>
          <w:tcPr>
            <w:tcW w:type="dxa" w:w="2600"/>
            <w:shd w:fill="F5F8F6" w:color="auto" w:val="clear"/>
            <w:tcMar>
              <w:top w:type="dxa" w:w="90"/>
              <w:left w:type="dxa" w:w="120"/>
              <w:bottom w:type="dxa" w:w="90"/>
              <w:right w:type="dxa" w:w="120"/>
            </w:tcMar>
          </w:tcPr>
          <w:p>
            <w:r>
              <w:rPr>
                <w:rFonts w:ascii="Calibri" w:cs="Calibri" w:eastAsia="Calibri" w:hAnsi="Calibri"/>
                <w:b w:val="false"/>
                <w:bCs w:val="false"/>
                <w:color w:val="1A1A1A"/>
                <w:sz w:val="19"/>
                <w:szCs w:val="19"/>
              </w:rPr>
              <w:t xml:space="preserve">8. International transfer restrictions</w:t>
            </w:r>
          </w:p>
        </w:tc>
        <w:tc>
          <w:tcPr>
            <w:tcW w:type="dxa" w:w="6750"/>
            <w:shd w:fill="F5F8F6" w:color="auto" w:val="clear"/>
            <w:tcMar>
              <w:top w:type="dxa" w:w="90"/>
              <w:left w:type="dxa" w:w="120"/>
              <w:bottom w:type="dxa" w:w="90"/>
              <w:right w:type="dxa" w:w="120"/>
            </w:tcMar>
          </w:tcPr>
          <w:p>
            <w:r>
              <w:rPr>
                <w:rFonts w:ascii="Calibri" w:cs="Calibri" w:eastAsia="Calibri" w:hAnsi="Calibri"/>
                <w:b w:val="false"/>
                <w:bCs w:val="false"/>
                <w:color w:val="1A1A1A"/>
                <w:sz w:val="19"/>
                <w:szCs w:val="19"/>
              </w:rPr>
              <w:t xml:space="preserve">Personal data is only sent to service providers (see §6.3) that provide an equivalent standard of protection.</w:t>
            </w:r>
          </w:p>
        </w:tc>
      </w:tr>
    </w:tbl>
    <w:p>
      <w:pPr>
        <w:spacing w:after="160"/>
      </w:pPr>
    </w:p>
    <w:p>
      <w:pPr>
        <w:pStyle w:val="Heading3"/>
        <w:spacing w:after="120" w:before="260"/>
      </w:pPr>
      <w:r>
        <w:rPr>
          <w:rFonts w:ascii="Calibri" w:cs="Calibri" w:eastAsia="Calibri" w:hAnsi="Calibri"/>
          <w:b/>
          <w:bCs/>
          <w:i w:val="false"/>
          <w:iCs w:val="false"/>
          <w:color w:val="1D6B45"/>
          <w:sz w:val="23"/>
          <w:szCs w:val="23"/>
        </w:rPr>
        <w:t xml:space="preserve">6.2 What personal data EduJA collects</w:t>
      </w:r>
    </w:p>
    <w:p>
      <w:pPr>
        <w:spacing w:after="160" w:line="276"/>
        <w:jc w:val="both"/>
      </w:pPr>
      <w:r>
        <w:rPr>
          <w:rFonts w:ascii="Calibri" w:cs="Calibri" w:eastAsia="Calibri" w:hAnsi="Calibri"/>
          <w:b w:val="false"/>
          <w:bCs w:val="false"/>
          <w:i w:val="false"/>
          <w:iCs w:val="false"/>
          <w:color w:val="1A1A1A"/>
          <w:sz w:val="21"/>
          <w:szCs w:val="21"/>
        </w:rPr>
        <w:t xml:space="preserve">Depending on how a person uses the platform, EduJA collects: full name; email address; phone number; a system-generated user ID; purchase/subscription history; messages exchanged between a student and their assigned teacher; an optional profile photo; lesson and practice progress; and, only if a visitor consents to analytics cookies, a device identifier used for Google Analytics. EduJA does not collect or store full payment card numbers — payments are handled directly by PayPal, and the Company never receives or stores card data. The complete, current list is published in our Privacy Policy at eduja.org/privacy-policy.html, which staff should be familiar with and should point customers to when asked.</w:t>
      </w:r>
    </w:p>
    <w:p>
      <w:pPr>
        <w:pStyle w:val="Heading3"/>
        <w:spacing w:after="120" w:before="260"/>
      </w:pPr>
      <w:r>
        <w:rPr>
          <w:rFonts w:ascii="Calibri" w:cs="Calibri" w:eastAsia="Calibri" w:hAnsi="Calibri"/>
          <w:b/>
          <w:bCs/>
          <w:i w:val="false"/>
          <w:iCs w:val="false"/>
          <w:color w:val="1D6B45"/>
          <w:sz w:val="23"/>
          <w:szCs w:val="23"/>
        </w:rPr>
        <w:t xml:space="preserve">6.3 Third-party service providers</w:t>
      </w:r>
    </w:p>
    <w:p>
      <w:pPr>
        <w:spacing w:after="160" w:line="276"/>
        <w:jc w:val="both"/>
      </w:pPr>
      <w:r>
        <w:rPr>
          <w:rFonts w:ascii="Calibri" w:cs="Calibri" w:eastAsia="Calibri" w:hAnsi="Calibri"/>
          <w:b w:val="false"/>
          <w:bCs w:val="false"/>
          <w:i w:val="false"/>
          <w:iCs w:val="false"/>
          <w:color w:val="1A1A1A"/>
          <w:sz w:val="21"/>
          <w:szCs w:val="21"/>
        </w:rPr>
        <w:t xml:space="preserve">The Company uses a small number of vetted service providers (“processors”) to run EduJA. Staff should know who they are, since a data subject may ask:</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400"/>
        <w:gridCol w:w="6950"/>
      </w:tblGrid>
      <w:tr>
        <w:tc>
          <w:tcPr>
            <w:tcW w:type="dxa" w:w="2400"/>
            <w:shd w:fill="14532D" w:color="auto" w:val="clear"/>
            <w:tcMar>
              <w:top w:type="dxa" w:w="90"/>
              <w:left w:type="dxa" w:w="120"/>
              <w:bottom w:type="dxa" w:w="90"/>
              <w:right w:type="dxa" w:w="120"/>
            </w:tcMar>
          </w:tcPr>
          <w:p>
            <w:r>
              <w:rPr>
                <w:rFonts w:ascii="Calibri" w:cs="Calibri" w:eastAsia="Calibri" w:hAnsi="Calibri"/>
                <w:b/>
                <w:bCs/>
                <w:color w:val="FFFFFF"/>
                <w:sz w:val="19"/>
                <w:szCs w:val="19"/>
              </w:rPr>
              <w:t xml:space="preserve">Provider</w:t>
            </w:r>
          </w:p>
        </w:tc>
        <w:tc>
          <w:tcPr>
            <w:tcW w:type="dxa" w:w="6950"/>
            <w:shd w:fill="14532D" w:color="auto" w:val="clear"/>
            <w:tcMar>
              <w:top w:type="dxa" w:w="90"/>
              <w:left w:type="dxa" w:w="120"/>
              <w:bottom w:type="dxa" w:w="90"/>
              <w:right w:type="dxa" w:w="120"/>
            </w:tcMar>
          </w:tcPr>
          <w:p>
            <w:r>
              <w:rPr>
                <w:rFonts w:ascii="Calibri" w:cs="Calibri" w:eastAsia="Calibri" w:hAnsi="Calibri"/>
                <w:b/>
                <w:bCs/>
                <w:color w:val="FFFFFF"/>
                <w:sz w:val="19"/>
                <w:szCs w:val="19"/>
              </w:rPr>
              <w:t xml:space="preserve">What it's used for</w:t>
            </w:r>
          </w:p>
        </w:tc>
      </w:tr>
      <w:tr>
        <w:tc>
          <w:tcPr>
            <w:tcW w:type="dxa" w:w="2400"/>
            <w:tcMar>
              <w:top w:type="dxa" w:w="90"/>
              <w:left w:type="dxa" w:w="120"/>
              <w:bottom w:type="dxa" w:w="90"/>
              <w:right w:type="dxa" w:w="120"/>
            </w:tcMar>
          </w:tcPr>
          <w:p>
            <w:r>
              <w:rPr>
                <w:rFonts w:ascii="Calibri" w:cs="Calibri" w:eastAsia="Calibri" w:hAnsi="Calibri"/>
                <w:b w:val="false"/>
                <w:bCs w:val="false"/>
                <w:color w:val="1A1A1A"/>
                <w:sz w:val="19"/>
                <w:szCs w:val="19"/>
              </w:rPr>
              <w:t xml:space="preserve">Supabase</w:t>
            </w:r>
          </w:p>
        </w:tc>
        <w:tc>
          <w:tcPr>
            <w:tcW w:type="dxa" w:w="6950"/>
            <w:tcMar>
              <w:top w:type="dxa" w:w="90"/>
              <w:left w:type="dxa" w:w="120"/>
              <w:bottom w:type="dxa" w:w="90"/>
              <w:right w:type="dxa" w:w="120"/>
            </w:tcMar>
          </w:tcPr>
          <w:p>
            <w:r>
              <w:rPr>
                <w:rFonts w:ascii="Calibri" w:cs="Calibri" w:eastAsia="Calibri" w:hAnsi="Calibri"/>
                <w:b w:val="false"/>
                <w:bCs w:val="false"/>
                <w:color w:val="1A1A1A"/>
                <w:sz w:val="19"/>
                <w:szCs w:val="19"/>
              </w:rPr>
              <w:t xml:space="preserve">Database hosting and account authentication</w:t>
            </w:r>
          </w:p>
        </w:tc>
      </w:tr>
      <w:tr>
        <w:tc>
          <w:tcPr>
            <w:tcW w:type="dxa" w:w="2400"/>
            <w:shd w:fill="F5F8F6" w:color="auto" w:val="clear"/>
            <w:tcMar>
              <w:top w:type="dxa" w:w="90"/>
              <w:left w:type="dxa" w:w="120"/>
              <w:bottom w:type="dxa" w:w="90"/>
              <w:right w:type="dxa" w:w="120"/>
            </w:tcMar>
          </w:tcPr>
          <w:p>
            <w:r>
              <w:rPr>
                <w:rFonts w:ascii="Calibri" w:cs="Calibri" w:eastAsia="Calibri" w:hAnsi="Calibri"/>
                <w:b w:val="false"/>
                <w:bCs w:val="false"/>
                <w:color w:val="1A1A1A"/>
                <w:sz w:val="19"/>
                <w:szCs w:val="19"/>
              </w:rPr>
              <w:t xml:space="preserve">Netlify</w:t>
            </w:r>
          </w:p>
        </w:tc>
        <w:tc>
          <w:tcPr>
            <w:tcW w:type="dxa" w:w="6950"/>
            <w:shd w:fill="F5F8F6" w:color="auto" w:val="clear"/>
            <w:tcMar>
              <w:top w:type="dxa" w:w="90"/>
              <w:left w:type="dxa" w:w="120"/>
              <w:bottom w:type="dxa" w:w="90"/>
              <w:right w:type="dxa" w:w="120"/>
            </w:tcMar>
          </w:tcPr>
          <w:p>
            <w:r>
              <w:rPr>
                <w:rFonts w:ascii="Calibri" w:cs="Calibri" w:eastAsia="Calibri" w:hAnsi="Calibri"/>
                <w:b w:val="false"/>
                <w:bCs w:val="false"/>
                <w:color w:val="1A1A1A"/>
                <w:sz w:val="19"/>
                <w:szCs w:val="19"/>
              </w:rPr>
              <w:t xml:space="preserve">Website and backend hosting</w:t>
            </w:r>
          </w:p>
        </w:tc>
      </w:tr>
      <w:tr>
        <w:tc>
          <w:tcPr>
            <w:tcW w:type="dxa" w:w="2400"/>
            <w:tcMar>
              <w:top w:type="dxa" w:w="90"/>
              <w:left w:type="dxa" w:w="120"/>
              <w:bottom w:type="dxa" w:w="90"/>
              <w:right w:type="dxa" w:w="120"/>
            </w:tcMar>
          </w:tcPr>
          <w:p>
            <w:r>
              <w:rPr>
                <w:rFonts w:ascii="Calibri" w:cs="Calibri" w:eastAsia="Calibri" w:hAnsi="Calibri"/>
                <w:b w:val="false"/>
                <w:bCs w:val="false"/>
                <w:color w:val="1A1A1A"/>
                <w:sz w:val="19"/>
                <w:szCs w:val="19"/>
              </w:rPr>
              <w:t xml:space="preserve">PayPal</w:t>
            </w:r>
          </w:p>
        </w:tc>
        <w:tc>
          <w:tcPr>
            <w:tcW w:type="dxa" w:w="6950"/>
            <w:tcMar>
              <w:top w:type="dxa" w:w="90"/>
              <w:left w:type="dxa" w:w="120"/>
              <w:bottom w:type="dxa" w:w="90"/>
              <w:right w:type="dxa" w:w="120"/>
            </w:tcMar>
          </w:tcPr>
          <w:p>
            <w:r>
              <w:rPr>
                <w:rFonts w:ascii="Calibri" w:cs="Calibri" w:eastAsia="Calibri" w:hAnsi="Calibri"/>
                <w:b w:val="false"/>
                <w:bCs w:val="false"/>
                <w:color w:val="1A1A1A"/>
                <w:sz w:val="19"/>
                <w:szCs w:val="19"/>
              </w:rPr>
              <w:t xml:space="preserve">Payment processing (card data never passes through EduJA)</w:t>
            </w:r>
          </w:p>
        </w:tc>
      </w:tr>
      <w:tr>
        <w:tc>
          <w:tcPr>
            <w:tcW w:type="dxa" w:w="2400"/>
            <w:shd w:fill="F5F8F6" w:color="auto" w:val="clear"/>
            <w:tcMar>
              <w:top w:type="dxa" w:w="90"/>
              <w:left w:type="dxa" w:w="120"/>
              <w:bottom w:type="dxa" w:w="90"/>
              <w:right w:type="dxa" w:w="120"/>
            </w:tcMar>
          </w:tcPr>
          <w:p>
            <w:r>
              <w:rPr>
                <w:rFonts w:ascii="Calibri" w:cs="Calibri" w:eastAsia="Calibri" w:hAnsi="Calibri"/>
                <w:b w:val="false"/>
                <w:bCs w:val="false"/>
                <w:color w:val="1A1A1A"/>
                <w:sz w:val="19"/>
                <w:szCs w:val="19"/>
              </w:rPr>
              <w:t xml:space="preserve">Resend</w:t>
            </w:r>
          </w:p>
        </w:tc>
        <w:tc>
          <w:tcPr>
            <w:tcW w:type="dxa" w:w="6950"/>
            <w:shd w:fill="F5F8F6" w:color="auto" w:val="clear"/>
            <w:tcMar>
              <w:top w:type="dxa" w:w="90"/>
              <w:left w:type="dxa" w:w="120"/>
              <w:bottom w:type="dxa" w:w="90"/>
              <w:right w:type="dxa" w:w="120"/>
            </w:tcMar>
          </w:tcPr>
          <w:p>
            <w:r>
              <w:rPr>
                <w:rFonts w:ascii="Calibri" w:cs="Calibri" w:eastAsia="Calibri" w:hAnsi="Calibri"/>
                <w:b w:val="false"/>
                <w:bCs w:val="false"/>
                <w:color w:val="1A1A1A"/>
                <w:sz w:val="19"/>
                <w:szCs w:val="19"/>
              </w:rPr>
              <w:t xml:space="preserve">Sending transactional/account emails</w:t>
            </w:r>
          </w:p>
        </w:tc>
      </w:tr>
      <w:tr>
        <w:tc>
          <w:tcPr>
            <w:tcW w:type="dxa" w:w="2400"/>
            <w:tcMar>
              <w:top w:type="dxa" w:w="90"/>
              <w:left w:type="dxa" w:w="120"/>
              <w:bottom w:type="dxa" w:w="90"/>
              <w:right w:type="dxa" w:w="120"/>
            </w:tcMar>
          </w:tcPr>
          <w:p>
            <w:r>
              <w:rPr>
                <w:rFonts w:ascii="Calibri" w:cs="Calibri" w:eastAsia="Calibri" w:hAnsi="Calibri"/>
                <w:b w:val="false"/>
                <w:bCs w:val="false"/>
                <w:color w:val="1A1A1A"/>
                <w:sz w:val="19"/>
                <w:szCs w:val="19"/>
              </w:rPr>
              <w:t xml:space="preserve">Google Analytics</w:t>
            </w:r>
          </w:p>
        </w:tc>
        <w:tc>
          <w:tcPr>
            <w:tcW w:type="dxa" w:w="6950"/>
            <w:tcMar>
              <w:top w:type="dxa" w:w="90"/>
              <w:left w:type="dxa" w:w="120"/>
              <w:bottom w:type="dxa" w:w="90"/>
              <w:right w:type="dxa" w:w="120"/>
            </w:tcMar>
          </w:tcPr>
          <w:p>
            <w:r>
              <w:rPr>
                <w:rFonts w:ascii="Calibri" w:cs="Calibri" w:eastAsia="Calibri" w:hAnsi="Calibri"/>
                <w:b w:val="false"/>
                <w:bCs w:val="false"/>
                <w:color w:val="1A1A1A"/>
                <w:sz w:val="19"/>
                <w:szCs w:val="19"/>
              </w:rPr>
              <w:t xml:space="preserve">Usage analytics — only if the visitor consents to analytics cookies</w:t>
            </w:r>
          </w:p>
        </w:tc>
      </w:tr>
      <w:tr>
        <w:tc>
          <w:tcPr>
            <w:tcW w:type="dxa" w:w="2400"/>
            <w:shd w:fill="F5F8F6" w:color="auto" w:val="clear"/>
            <w:tcMar>
              <w:top w:type="dxa" w:w="90"/>
              <w:left w:type="dxa" w:w="120"/>
              <w:bottom w:type="dxa" w:w="90"/>
              <w:right w:type="dxa" w:w="120"/>
            </w:tcMar>
          </w:tcPr>
          <w:p>
            <w:r>
              <w:rPr>
                <w:rFonts w:ascii="Calibri" w:cs="Calibri" w:eastAsia="Calibri" w:hAnsi="Calibri"/>
                <w:b w:val="false"/>
                <w:bCs w:val="false"/>
                <w:color w:val="1A1A1A"/>
                <w:sz w:val="19"/>
                <w:szCs w:val="19"/>
              </w:rPr>
              <w:t xml:space="preserve">Groq</w:t>
            </w:r>
          </w:p>
        </w:tc>
        <w:tc>
          <w:tcPr>
            <w:tcW w:type="dxa" w:w="6950"/>
            <w:shd w:fill="F5F8F6" w:color="auto" w:val="clear"/>
            <w:tcMar>
              <w:top w:type="dxa" w:w="90"/>
              <w:left w:type="dxa" w:w="120"/>
              <w:bottom w:type="dxa" w:w="90"/>
              <w:right w:type="dxa" w:w="120"/>
            </w:tcMar>
          </w:tcPr>
          <w:p>
            <w:r>
              <w:rPr>
                <w:rFonts w:ascii="Calibri" w:cs="Calibri" w:eastAsia="Calibri" w:hAnsi="Calibri"/>
                <w:b w:val="false"/>
                <w:bCs w:val="false"/>
                <w:color w:val="1A1A1A"/>
                <w:sz w:val="19"/>
                <w:szCs w:val="19"/>
              </w:rPr>
              <w:t xml:space="preserve">Powers the “Explain Further” AI study help; receives only quiz/question text, never a name, email, or account ID</w:t>
            </w:r>
          </w:p>
        </w:tc>
      </w:tr>
      <w:tr>
        <w:tc>
          <w:tcPr>
            <w:tcW w:type="dxa" w:w="2400"/>
            <w:tcMar>
              <w:top w:type="dxa" w:w="90"/>
              <w:left w:type="dxa" w:w="120"/>
              <w:bottom w:type="dxa" w:w="90"/>
              <w:right w:type="dxa" w:w="120"/>
            </w:tcMar>
          </w:tcPr>
          <w:p>
            <w:r>
              <w:rPr>
                <w:rFonts w:ascii="Calibri" w:cs="Calibri" w:eastAsia="Calibri" w:hAnsi="Calibri"/>
                <w:b w:val="false"/>
                <w:bCs w:val="false"/>
                <w:color w:val="1A1A1A"/>
                <w:sz w:val="19"/>
                <w:szCs w:val="19"/>
              </w:rPr>
              <w:t xml:space="preserve">Cloudflare</w:t>
            </w:r>
          </w:p>
        </w:tc>
        <w:tc>
          <w:tcPr>
            <w:tcW w:type="dxa" w:w="6950"/>
            <w:tcMar>
              <w:top w:type="dxa" w:w="90"/>
              <w:left w:type="dxa" w:w="120"/>
              <w:bottom w:type="dxa" w:w="90"/>
              <w:right w:type="dxa" w:w="120"/>
            </w:tcMar>
          </w:tcPr>
          <w:p>
            <w:r>
              <w:rPr>
                <w:rFonts w:ascii="Calibri" w:cs="Calibri" w:eastAsia="Calibri" w:hAnsi="Calibri"/>
                <w:b w:val="false"/>
                <w:bCs w:val="false"/>
                <w:color w:val="1A1A1A"/>
                <w:sz w:val="19"/>
                <w:szCs w:val="19"/>
              </w:rPr>
              <w:t xml:space="preserve">Spam and bot protection on web forms</w:t>
            </w:r>
          </w:p>
        </w:tc>
      </w:tr>
      <w:tr>
        <w:tc>
          <w:tcPr>
            <w:tcW w:type="dxa" w:w="2400"/>
            <w:shd w:fill="F5F8F6" w:color="auto" w:val="clear"/>
            <w:tcMar>
              <w:top w:type="dxa" w:w="90"/>
              <w:left w:type="dxa" w:w="120"/>
              <w:bottom w:type="dxa" w:w="90"/>
              <w:right w:type="dxa" w:w="120"/>
            </w:tcMar>
          </w:tcPr>
          <w:p>
            <w:r>
              <w:rPr>
                <w:rFonts w:ascii="Calibri" w:cs="Calibri" w:eastAsia="Calibri" w:hAnsi="Calibri"/>
                <w:b w:val="false"/>
                <w:bCs w:val="false"/>
                <w:color w:val="1A1A1A"/>
                <w:sz w:val="19"/>
                <w:szCs w:val="19"/>
              </w:rPr>
              <w:t xml:space="preserve">Daily.co</w:t>
            </w:r>
          </w:p>
        </w:tc>
        <w:tc>
          <w:tcPr>
            <w:tcW w:type="dxa" w:w="6950"/>
            <w:shd w:fill="F5F8F6" w:color="auto" w:val="clear"/>
            <w:tcMar>
              <w:top w:type="dxa" w:w="90"/>
              <w:left w:type="dxa" w:w="120"/>
              <w:bottom w:type="dxa" w:w="90"/>
              <w:right w:type="dxa" w:w="120"/>
            </w:tcMar>
          </w:tcPr>
          <w:p>
            <w:r>
              <w:rPr>
                <w:rFonts w:ascii="Calibri" w:cs="Calibri" w:eastAsia="Calibri" w:hAnsi="Calibri"/>
                <w:b w:val="false"/>
                <w:bCs w:val="false"/>
                <w:color w:val="1A1A1A"/>
                <w:sz w:val="19"/>
                <w:szCs w:val="19"/>
              </w:rPr>
              <w:t xml:space="preserve">Voice/video call infrastructure for teacher sessions — call metadata only, calls are not recorded</w:t>
            </w:r>
          </w:p>
        </w:tc>
      </w:tr>
      <w:tr>
        <w:tc>
          <w:tcPr>
            <w:tcW w:type="dxa" w:w="2400"/>
            <w:tcMar>
              <w:top w:type="dxa" w:w="90"/>
              <w:left w:type="dxa" w:w="120"/>
              <w:bottom w:type="dxa" w:w="90"/>
              <w:right w:type="dxa" w:w="120"/>
            </w:tcMar>
          </w:tcPr>
          <w:p>
            <w:r>
              <w:rPr>
                <w:rFonts w:ascii="Calibri" w:cs="Calibri" w:eastAsia="Calibri" w:hAnsi="Calibri"/>
                <w:b w:val="false"/>
                <w:bCs w:val="false"/>
                <w:color w:val="1A1A1A"/>
                <w:sz w:val="19"/>
                <w:szCs w:val="19"/>
              </w:rPr>
              <w:t xml:space="preserve">WhatsApp (Meta)</w:t>
            </w:r>
          </w:p>
        </w:tc>
        <w:tc>
          <w:tcPr>
            <w:tcW w:type="dxa" w:w="6950"/>
            <w:tcMar>
              <w:top w:type="dxa" w:w="90"/>
              <w:left w:type="dxa" w:w="120"/>
              <w:bottom w:type="dxa" w:w="90"/>
              <w:right w:type="dxa" w:w="120"/>
            </w:tcMar>
          </w:tcPr>
          <w:p>
            <w:r>
              <w:rPr>
                <w:rFonts w:ascii="Calibri" w:cs="Calibri" w:eastAsia="Calibri" w:hAnsi="Calibri"/>
                <w:b w:val="false"/>
                <w:bCs w:val="false"/>
                <w:color w:val="1A1A1A"/>
                <w:sz w:val="19"/>
                <w:szCs w:val="19"/>
              </w:rPr>
              <w:t xml:space="preserve">Only when a user chooses to contact support via WhatsApp</w:t>
            </w:r>
          </w:p>
        </w:tc>
      </w:tr>
    </w:tbl>
    <w:p>
      <w:pPr>
        <w:spacing w:after="160"/>
      </w:pPr>
    </w:p>
    <w:p>
      <w:pPr>
        <w:pStyle w:val="Heading3"/>
        <w:spacing w:after="120" w:before="260"/>
      </w:pPr>
      <w:r>
        <w:rPr>
          <w:rFonts w:ascii="Calibri" w:cs="Calibri" w:eastAsia="Calibri" w:hAnsi="Calibri"/>
          <w:b/>
          <w:bCs/>
          <w:i w:val="false"/>
          <w:iCs w:val="false"/>
          <w:color w:val="1D6B45"/>
          <w:sz w:val="23"/>
          <w:szCs w:val="23"/>
        </w:rPr>
        <w:t xml:space="preserve">6.4 Special care for minors' data</w:t>
      </w:r>
    </w:p>
    <w:tbl>
      <w:tblPr>
        <w:tblW w:type="dxa" w:w="9350"/>
        <w:tblBorders>
          <w:top w:val="single" w:color="14532D" w:sz="4"/>
          <w:left w:val="single" w:color="14532D" w:sz="24"/>
          <w:bottom w:val="single" w:color="14532D" w:sz="4"/>
          <w:right w:val="single" w:color="14532D" w:sz="4"/>
          <w:insideH w:val="none" w:color="FFFFFF" w:sz="0"/>
          <w:insideV w:val="none" w:color="FFFFFF" w:sz="0"/>
        </w:tblBorders>
      </w:tblPr>
      <w:tblGrid>
        <w:gridCol w:w="9350"/>
      </w:tblGrid>
      <w:tr>
        <w:tc>
          <w:tcPr>
            <w:tcW w:type="dxa" w:w="9350"/>
            <w:shd w:fill="E8F1EC" w:color="auto" w:val="clear"/>
            <w:tcMar>
              <w:top w:type="dxa" w:w="160"/>
              <w:left w:type="dxa" w:w="220"/>
              <w:bottom w:type="dxa" w:w="160"/>
              <w:right w:type="dxa" w:w="220"/>
            </w:tcMar>
          </w:tcPr>
          <w:p>
            <w:pPr>
              <w:spacing w:after="80"/>
            </w:pPr>
            <w:r>
              <w:rPr>
                <w:rFonts w:ascii="Calibri" w:cs="Calibri" w:eastAsia="Calibri" w:hAnsi="Calibri"/>
                <w:b/>
                <w:bCs/>
                <w:color w:val="14532D"/>
                <w:sz w:val="21"/>
                <w:szCs w:val="21"/>
              </w:rPr>
              <w:t xml:space="preserve">Students under 13</w:t>
            </w:r>
          </w:p>
          <w:p>
            <w:pPr>
              <w:spacing w:after="80" w:line="264"/>
            </w:pPr>
            <w:r>
              <w:rPr>
                <w:rFonts w:ascii="Calibri" w:cs="Calibri" w:eastAsia="Calibri" w:hAnsi="Calibri"/>
                <w:color w:val="1A1A1A"/>
                <w:sz w:val="20"/>
                <w:szCs w:val="20"/>
              </w:rPr>
              <w:t xml:space="preserve">Most EduJA students are aged roughly 12–19, but Grade 7 can include students under 13. Where a student is under 13, their account is parent/guardian-managed, consistent with our approach to the Google Play Families Policy and Jamaican data protection expectations for children's data.</w:t>
            </w:r>
          </w:p>
          <w:p>
            <w:pPr>
              <w:pStyle w:val="ListParagraph"/>
              <w:numPr>
                <w:ilvl w:val="0"/>
                <w:numId w:val="2"/>
              </w:numPr>
              <w:spacing w:after="60" w:line="264"/>
            </w:pPr>
            <w:r>
              <w:rPr>
                <w:rFonts w:ascii="Calibri" w:cs="Calibri" w:eastAsia="Calibri" w:hAnsi="Calibri"/>
                <w:b/>
                <w:bCs/>
                <w:color w:val="1A1A1A"/>
                <w:sz w:val="20"/>
                <w:szCs w:val="20"/>
              </w:rPr>
              <w:t xml:space="preserve">Extra care applies: </w:t>
            </w:r>
          </w:p>
          <w:p>
            <w:pPr>
              <w:spacing w:after="80" w:line="264"/>
            </w:pPr>
            <w:r>
              <w:rPr>
                <w:rFonts w:ascii="Calibri" w:cs="Calibri" w:eastAsia="Calibri" w:hAnsi="Calibri"/>
                <w:color w:val="1A1A1A"/>
                <w:sz w:val="20"/>
                <w:szCs w:val="20"/>
              </w:rPr>
              <w:t xml:space="preserve">Never contact a student directly to obtain personal information outside the platform.</w:t>
            </w:r>
          </w:p>
          <w:p>
            <w:pPr>
              <w:spacing w:after="80" w:line="264"/>
            </w:pPr>
            <w:r>
              <w:rPr>
                <w:rFonts w:ascii="Calibri" w:cs="Calibri" w:eastAsia="Calibri" w:hAnsi="Calibri"/>
                <w:color w:val="1A1A1A"/>
                <w:sz w:val="20"/>
                <w:szCs w:val="20"/>
              </w:rPr>
              <w:t xml:space="preserve">Route any account, billing, or data question involving a minor through the parent/guardian on record wherever possible.</w:t>
            </w:r>
          </w:p>
          <w:p>
            <w:pPr>
              <w:spacing w:after="80" w:line="264"/>
            </w:pPr>
            <w:r>
              <w:rPr>
                <w:rFonts w:ascii="Calibri" w:cs="Calibri" w:eastAsia="Calibri" w:hAnsi="Calibri"/>
                <w:color w:val="1A1A1A"/>
                <w:sz w:val="20"/>
                <w:szCs w:val="20"/>
              </w:rPr>
              <w:t xml:space="preserve">Treat any information about a student's academic struggles, disability accommodations, or family circumstances as especially sensitive — share it only with colleagues who need it to support that student.</w:t>
            </w:r>
          </w:p>
        </w:tc>
      </w:tr>
    </w:tbl>
    <w:p>
      <w:pPr>
        <w:spacing w:after="120"/>
      </w:pPr>
    </w:p>
    <w:p>
      <w:pPr>
        <w:pStyle w:val="Heading3"/>
        <w:spacing w:after="120" w:before="260"/>
      </w:pPr>
      <w:r>
        <w:rPr>
          <w:rFonts w:ascii="Calibri" w:cs="Calibri" w:eastAsia="Calibri" w:hAnsi="Calibri"/>
          <w:b/>
          <w:bCs/>
          <w:i w:val="false"/>
          <w:iCs w:val="false"/>
          <w:color w:val="1D6B45"/>
          <w:sz w:val="23"/>
          <w:szCs w:val="23"/>
        </w:rPr>
        <w:t xml:space="preserve">6.5 Access, correction &amp; deletion requests</w:t>
      </w:r>
    </w:p>
    <w:p>
      <w:pPr>
        <w:spacing w:after="160" w:line="276"/>
        <w:jc w:val="both"/>
      </w:pPr>
      <w:r>
        <w:rPr>
          <w:rFonts w:ascii="Calibri" w:cs="Calibri" w:eastAsia="Calibri" w:hAnsi="Calibri"/>
          <w:b w:val="false"/>
          <w:bCs w:val="false"/>
          <w:i w:val="false"/>
          <w:iCs w:val="false"/>
          <w:color w:val="1A1A1A"/>
          <w:sz w:val="21"/>
          <w:szCs w:val="21"/>
        </w:rPr>
        <w:t xml:space="preserve">Students, parents, and guardians have the right to ask what personal data we hold about them, to correct it if inaccurate, and to have it deleted. Account deletion can be requested directly at eduja.org/delete-account.html. If a customer raises an access, correction, or deletion request with you directly (by phone, in person, or by message) rather than through that page, do not attempt to resolve it yourself — forward it immediately to your supervisor or the designated privacy contact so it can be handled correctly and on time.</w:t>
      </w:r>
    </w:p>
    <w:p>
      <w:pPr>
        <w:pStyle w:val="Heading3"/>
        <w:spacing w:after="120" w:before="260"/>
      </w:pPr>
      <w:r>
        <w:rPr>
          <w:rFonts w:ascii="Calibri" w:cs="Calibri" w:eastAsia="Calibri" w:hAnsi="Calibri"/>
          <w:b/>
          <w:bCs/>
          <w:i w:val="false"/>
          <w:iCs w:val="false"/>
          <w:color w:val="1D6B45"/>
          <w:sz w:val="23"/>
          <w:szCs w:val="23"/>
        </w:rPr>
        <w:t xml:space="preserve">6.6 Role-based access — “need to know”</w:t>
      </w:r>
    </w:p>
    <w:p>
      <w:pPr>
        <w:spacing w:after="160" w:line="276"/>
        <w:jc w:val="both"/>
      </w:pPr>
      <w:r>
        <w:rPr>
          <w:rFonts w:ascii="Calibri" w:cs="Calibri" w:eastAsia="Calibri" w:hAnsi="Calibri"/>
          <w:b w:val="false"/>
          <w:bCs w:val="false"/>
          <w:i w:val="false"/>
          <w:iCs w:val="false"/>
          <w:color w:val="1A1A1A"/>
          <w:sz w:val="21"/>
          <w:szCs w:val="21"/>
        </w:rPr>
        <w:t xml:space="preserve">Not everyone needs access to everything. As a rule:</w:t>
      </w:r>
    </w:p>
    <w:p>
      <w:pPr>
        <w:pStyle w:val="ListParagraph"/>
        <w:numPr>
          <w:ilvl w:val="0"/>
          <w:numId w:val="2"/>
        </w:numPr>
        <w:spacing w:after="90" w:line="276"/>
      </w:pPr>
      <w:r>
        <w:rPr>
          <w:rFonts w:ascii="Calibri" w:cs="Calibri" w:eastAsia="Calibri" w:hAnsi="Calibri"/>
          <w:color w:val="1A1A1A"/>
          <w:sz w:val="21"/>
          <w:szCs w:val="21"/>
        </w:rPr>
        <w:t xml:space="preserve">Sales staff access only the contact and enrollment information needed to support a prospective or current customer.</w:t>
      </w:r>
    </w:p>
    <w:p>
      <w:pPr>
        <w:pStyle w:val="ListParagraph"/>
        <w:numPr>
          <w:ilvl w:val="0"/>
          <w:numId w:val="2"/>
        </w:numPr>
        <w:spacing w:after="90" w:line="276"/>
      </w:pPr>
      <w:r>
        <w:rPr>
          <w:rFonts w:ascii="Calibri" w:cs="Calibri" w:eastAsia="Calibri" w:hAnsi="Calibri"/>
          <w:color w:val="1A1A1A"/>
          <w:sz w:val="21"/>
          <w:szCs w:val="21"/>
        </w:rPr>
        <w:t xml:space="preserve">Administrative staff access billing, account, and support data needed to process payments, resolve issues, and manage accounts.</w:t>
      </w:r>
    </w:p>
    <w:p>
      <w:pPr>
        <w:pStyle w:val="ListParagraph"/>
        <w:numPr>
          <w:ilvl w:val="0"/>
          <w:numId w:val="2"/>
        </w:numPr>
        <w:spacing w:after="90" w:line="276"/>
      </w:pPr>
      <w:r>
        <w:rPr>
          <w:rFonts w:ascii="Calibri" w:cs="Calibri" w:eastAsia="Calibri" w:hAnsi="Calibri"/>
          <w:color w:val="1A1A1A"/>
          <w:sz w:val="21"/>
          <w:szCs w:val="21"/>
        </w:rPr>
        <w:t xml:space="preserve">Teachers access only the academic data, messages, and booking information of students assigned to them — never another teacher's students, and never billing or payment information.</w:t>
      </w:r>
    </w:p>
    <w:p>
      <w:pPr>
        <w:pStyle w:val="ListParagraph"/>
        <w:numPr>
          <w:ilvl w:val="0"/>
          <w:numId w:val="2"/>
        </w:numPr>
        <w:spacing w:after="90" w:line="276"/>
      </w:pPr>
      <w:r>
        <w:rPr>
          <w:rFonts w:ascii="Calibri" w:cs="Calibri" w:eastAsia="Calibri" w:hAnsi="Calibri"/>
          <w:color w:val="1A1A1A"/>
          <w:sz w:val="21"/>
          <w:szCs w:val="21"/>
        </w:rPr>
        <w:t xml:space="preserve">No staff member accesses customer or student data out of curiosity, for personal reasons, or for anyone outside the Company, under any circumstances.</w:t>
      </w:r>
    </w:p>
    <w:p>
      <w:pPr>
        <w:pStyle w:val="Heading3"/>
        <w:spacing w:after="120" w:before="260"/>
      </w:pPr>
      <w:r>
        <w:rPr>
          <w:rFonts w:ascii="Calibri" w:cs="Calibri" w:eastAsia="Calibri" w:hAnsi="Calibri"/>
          <w:b/>
          <w:bCs/>
          <w:i w:val="false"/>
          <w:iCs w:val="false"/>
          <w:color w:val="1D6B45"/>
          <w:sz w:val="23"/>
          <w:szCs w:val="23"/>
        </w:rPr>
        <w:t xml:space="preserve">6.7 Reporting a suspected data breach</w:t>
      </w:r>
    </w:p>
    <w:tbl>
      <w:tblPr>
        <w:tblW w:type="dxa" w:w="9350"/>
        <w:tblBorders>
          <w:top w:val="single" w:color="9A6B00" w:sz="4"/>
          <w:left w:val="single" w:color="9A6B00" w:sz="24"/>
          <w:bottom w:val="single" w:color="9A6B00" w:sz="4"/>
          <w:right w:val="single" w:color="9A6B00" w:sz="4"/>
          <w:insideH w:val="none" w:color="FFFFFF" w:sz="0"/>
          <w:insideV w:val="none" w:color="FFFFFF" w:sz="0"/>
        </w:tblBorders>
      </w:tblPr>
      <w:tblGrid>
        <w:gridCol w:w="9350"/>
      </w:tblGrid>
      <w:tr>
        <w:tc>
          <w:tcPr>
            <w:tcW w:type="dxa" w:w="9350"/>
            <w:shd w:fill="FBF3DF" w:color="auto" w:val="clear"/>
            <w:tcMar>
              <w:top w:type="dxa" w:w="160"/>
              <w:left w:type="dxa" w:w="220"/>
              <w:bottom w:type="dxa" w:w="160"/>
              <w:right w:type="dxa" w:w="220"/>
            </w:tcMar>
          </w:tcPr>
          <w:p>
            <w:pPr>
              <w:spacing w:after="80"/>
            </w:pPr>
            <w:r>
              <w:rPr>
                <w:rFonts w:ascii="Calibri" w:cs="Calibri" w:eastAsia="Calibri" w:hAnsi="Calibri"/>
                <w:b/>
                <w:bCs/>
                <w:color w:val="9A6B00"/>
                <w:sz w:val="21"/>
                <w:szCs w:val="21"/>
              </w:rPr>
              <w:t xml:space="preserve">Report immediately — do not wait</w:t>
            </w:r>
          </w:p>
          <w:p>
            <w:pPr>
              <w:pStyle w:val="ListParagraph"/>
              <w:numPr>
                <w:ilvl w:val="0"/>
                <w:numId w:val="2"/>
              </w:numPr>
              <w:spacing w:after="60" w:line="264"/>
            </w:pPr>
            <w:r>
              <w:rPr>
                <w:rFonts w:ascii="Calibri" w:cs="Calibri" w:eastAsia="Calibri" w:hAnsi="Calibri"/>
                <w:b w:val="false"/>
                <w:bCs w:val="false"/>
                <w:color w:val="1A1A1A"/>
                <w:sz w:val="20"/>
                <w:szCs w:val="20"/>
              </w:rPr>
              <w:t xml:space="preserve">If you suspect personal data has been lost, accessed without authorization, sent to the wrong person, or otherwise compromised — even if you are not sure — report it to your supervisor or the CEO immediately, and in any event within 24 hours.</w:t>
            </w:r>
          </w:p>
          <w:p>
            <w:pPr>
              <w:spacing w:after="80" w:line="264"/>
            </w:pPr>
            <w:r>
              <w:rPr>
                <w:rFonts w:ascii="Calibri" w:cs="Calibri" w:eastAsia="Calibri" w:hAnsi="Calibri"/>
                <w:color w:val="1A1A1A"/>
                <w:sz w:val="20"/>
                <w:szCs w:val="20"/>
              </w:rPr>
              <w:t xml:space="preserve">Jamaican law requires the Company to notify the Information Commissioner within 72 hours of becoming aware of a qualifying breach, so delay on your part directly threatens the Company's ability to comply with the law.</w:t>
            </w:r>
          </w:p>
          <w:p>
            <w:pPr>
              <w:spacing w:after="80" w:line="264"/>
            </w:pPr>
            <w:r>
              <w:rPr>
                <w:rFonts w:ascii="Calibri" w:cs="Calibri" w:eastAsia="Calibri" w:hAnsi="Calibri"/>
                <w:color w:val="1A1A1A"/>
                <w:sz w:val="20"/>
                <w:szCs w:val="20"/>
              </w:rPr>
              <w:t xml:space="preserve">You will never be penalized for reporting a genuine mistake promptly. You may face disciplinary action for concealing one.</w:t>
            </w:r>
          </w:p>
        </w:tc>
      </w:tr>
    </w:tbl>
    <w:p>
      <w:r>
        <w:br w:type="page"/>
      </w:r>
    </w:p>
    <w:p>
      <w:pPr>
        <w:pStyle w:val="Heading2"/>
        <w:spacing w:after="160" w:before="360"/>
      </w:pPr>
      <w:r>
        <w:rPr>
          <w:rFonts w:ascii="Cambria" w:cs="Cambria" w:eastAsia="Cambria" w:hAnsi="Cambria"/>
          <w:b/>
          <w:bCs/>
          <w:color w:val="1A1A1A"/>
          <w:sz w:val="25"/>
          <w:szCs w:val="25"/>
        </w:rPr>
        <w:t xml:space="preserve">7. Acceptable Use of Company Systems &amp; Site-Generated Data</w:t>
      </w:r>
    </w:p>
    <w:p>
      <w:pPr>
        <w:spacing w:after="160" w:line="276"/>
        <w:jc w:val="both"/>
      </w:pPr>
      <w:r>
        <w:rPr>
          <w:rFonts w:ascii="Calibri" w:cs="Calibri" w:eastAsia="Calibri" w:hAnsi="Calibri"/>
          <w:b w:val="false"/>
          <w:bCs w:val="false"/>
          <w:i w:val="false"/>
          <w:iCs w:val="false"/>
          <w:color w:val="1A1A1A"/>
          <w:sz w:val="21"/>
          <w:szCs w:val="21"/>
        </w:rPr>
        <w:t xml:space="preserve">This section governs how staff use EduJA's admin dashboard, teacher portal, customer records, and any other Company system or data generated by the site.</w:t>
      </w:r>
    </w:p>
    <w:p>
      <w:pPr>
        <w:pStyle w:val="ListParagraph"/>
        <w:numPr>
          <w:ilvl w:val="0"/>
          <w:numId w:val="2"/>
        </w:numPr>
        <w:spacing w:after="90" w:line="276"/>
      </w:pPr>
      <w:r>
        <w:rPr>
          <w:rFonts w:ascii="Calibri" w:cs="Calibri" w:eastAsia="Calibri" w:hAnsi="Calibri"/>
          <w:b/>
          <w:bCs/>
          <w:color w:val="1A1A1A"/>
          <w:sz w:val="21"/>
          <w:szCs w:val="21"/>
        </w:rPr>
        <w:t xml:space="preserve">Business purposes only. </w:t>
      </w:r>
      <w:r>
        <w:rPr>
          <w:rFonts w:ascii="Calibri" w:cs="Calibri" w:eastAsia="Calibri" w:hAnsi="Calibri"/>
          <w:color w:val="1A1A1A"/>
          <w:sz w:val="21"/>
          <w:szCs w:val="21"/>
        </w:rPr>
        <w:t xml:space="preserve">Company systems and the data in them exist to run EduJA. Do not use customer lists, leads, or student data for any personal project, side business, or purpose unrelated to your role.</w:t>
      </w:r>
    </w:p>
    <w:p>
      <w:pPr>
        <w:pStyle w:val="ListParagraph"/>
        <w:numPr>
          <w:ilvl w:val="0"/>
          <w:numId w:val="2"/>
        </w:numPr>
        <w:spacing w:after="90" w:line="276"/>
      </w:pPr>
      <w:r>
        <w:rPr>
          <w:rFonts w:ascii="Calibri" w:cs="Calibri" w:eastAsia="Calibri" w:hAnsi="Calibri"/>
          <w:b/>
          <w:bCs/>
          <w:color w:val="1A1A1A"/>
          <w:sz w:val="21"/>
          <w:szCs w:val="21"/>
        </w:rPr>
        <w:t xml:space="preserve">No exporting or copying outside approved systems. </w:t>
      </w:r>
      <w:r>
        <w:rPr>
          <w:rFonts w:ascii="Calibri" w:cs="Calibri" w:eastAsia="Calibri" w:hAnsi="Calibri"/>
          <w:color w:val="1A1A1A"/>
          <w:sz w:val="21"/>
          <w:szCs w:val="21"/>
        </w:rPr>
        <w:t xml:space="preserve">Do not download, export, print, photograph, or copy customer or student data to a personal device, personal email, USB drive, or personal cloud account (Google Drive, Dropbox, etc.). If your role requires an export for a legitimate business purpose, it must be approved in advance by a supervisor and deleted once its purpose is served.</w:t>
      </w:r>
    </w:p>
    <w:p>
      <w:pPr>
        <w:pStyle w:val="ListParagraph"/>
        <w:numPr>
          <w:ilvl w:val="0"/>
          <w:numId w:val="2"/>
        </w:numPr>
        <w:spacing w:after="90" w:line="276"/>
      </w:pPr>
      <w:r>
        <w:rPr>
          <w:rFonts w:ascii="Calibri" w:cs="Calibri" w:eastAsia="Calibri" w:hAnsi="Calibri"/>
          <w:b/>
          <w:bCs/>
          <w:color w:val="1A1A1A"/>
          <w:sz w:val="21"/>
          <w:szCs w:val="21"/>
        </w:rPr>
        <w:t xml:space="preserve">No unauthorized sharing. </w:t>
      </w:r>
      <w:r>
        <w:rPr>
          <w:rFonts w:ascii="Calibri" w:cs="Calibri" w:eastAsia="Calibri" w:hAnsi="Calibri"/>
          <w:color w:val="1A1A1A"/>
          <w:sz w:val="21"/>
          <w:szCs w:val="21"/>
        </w:rPr>
        <w:t xml:space="preserve">Do not share leads, customer lists, or account data with anyone outside the Company, including other businesses, family members, or on social media, under any circumstances.</w:t>
      </w:r>
    </w:p>
    <w:p>
      <w:pPr>
        <w:pStyle w:val="ListParagraph"/>
        <w:numPr>
          <w:ilvl w:val="0"/>
          <w:numId w:val="2"/>
        </w:numPr>
        <w:spacing w:after="90" w:line="276"/>
      </w:pPr>
      <w:r>
        <w:rPr>
          <w:rFonts w:ascii="Calibri" w:cs="Calibri" w:eastAsia="Calibri" w:hAnsi="Calibri"/>
          <w:b/>
          <w:bCs/>
          <w:color w:val="1A1A1A"/>
          <w:sz w:val="21"/>
          <w:szCs w:val="21"/>
        </w:rPr>
        <w:t xml:space="preserve">Individual accounts only. </w:t>
      </w:r>
      <w:r>
        <w:rPr>
          <w:rFonts w:ascii="Calibri" w:cs="Calibri" w:eastAsia="Calibri" w:hAnsi="Calibri"/>
          <w:color w:val="1A1A1A"/>
          <w:sz w:val="21"/>
          <w:szCs w:val="21"/>
        </w:rPr>
        <w:t xml:space="preserve">Never share your login credentials with another staff member, and never use another person's login. Each admin dashboard or teacher portal action is tied to your account and you are responsible for what happens under it.</w:t>
      </w:r>
    </w:p>
    <w:p>
      <w:pPr>
        <w:pStyle w:val="ListParagraph"/>
        <w:numPr>
          <w:ilvl w:val="0"/>
          <w:numId w:val="2"/>
        </w:numPr>
        <w:spacing w:after="90" w:line="276"/>
      </w:pPr>
      <w:r>
        <w:rPr>
          <w:rFonts w:ascii="Calibri" w:cs="Calibri" w:eastAsia="Calibri" w:hAnsi="Calibri"/>
          <w:b/>
          <w:bCs/>
          <w:color w:val="1A1A1A"/>
          <w:sz w:val="21"/>
          <w:szCs w:val="21"/>
        </w:rPr>
        <w:t xml:space="preserve">AI tools. </w:t>
      </w:r>
      <w:r>
        <w:rPr>
          <w:rFonts w:ascii="Calibri" w:cs="Calibri" w:eastAsia="Calibri" w:hAnsi="Calibri"/>
          <w:color w:val="1A1A1A"/>
          <w:sz w:val="21"/>
          <w:szCs w:val="21"/>
        </w:rPr>
        <w:t xml:space="preserve">EduJA's “Explain Further” feature uses an AI service (Groq) to help students, and AI assistance is also used to help teachers draft new practice questions faster. Staff — particularly teachers — must never publish or release AI-generated content to students without human review (see §15.4). Do not paste confidential Company or student information into any outside AI tool (ChatGPT, etc.) that is not part of the approved EduJA platform.</w:t>
      </w:r>
    </w:p>
    <w:p>
      <w:pPr>
        <w:pStyle w:val="ListParagraph"/>
        <w:numPr>
          <w:ilvl w:val="0"/>
          <w:numId w:val="2"/>
        </w:numPr>
        <w:spacing w:after="90" w:line="276"/>
      </w:pPr>
      <w:r>
        <w:rPr>
          <w:rFonts w:ascii="Calibri" w:cs="Calibri" w:eastAsia="Calibri" w:hAnsi="Calibri"/>
          <w:b/>
          <w:bCs/>
          <w:color w:val="1A1A1A"/>
          <w:sz w:val="21"/>
          <w:szCs w:val="21"/>
        </w:rPr>
        <w:t xml:space="preserve">No scraping or bulk extraction. </w:t>
      </w:r>
      <w:r>
        <w:rPr>
          <w:rFonts w:ascii="Calibri" w:cs="Calibri" w:eastAsia="Calibri" w:hAnsi="Calibri"/>
          <w:color w:val="1A1A1A"/>
          <w:sz w:val="21"/>
          <w:szCs w:val="21"/>
        </w:rPr>
        <w:t xml:space="preserve">Do not use scripts, bots, or bulk-export tools to pull data from the platform beyond what your role's normal workflow requires.</w:t>
      </w:r>
    </w:p>
    <w:p>
      <w:pPr>
        <w:pStyle w:val="ListParagraph"/>
        <w:numPr>
          <w:ilvl w:val="0"/>
          <w:numId w:val="2"/>
        </w:numPr>
        <w:spacing w:after="90" w:line="276"/>
      </w:pPr>
      <w:r>
        <w:rPr>
          <w:rFonts w:ascii="Calibri" w:cs="Calibri" w:eastAsia="Calibri" w:hAnsi="Calibri"/>
          <w:b/>
          <w:bCs/>
          <w:color w:val="1A1A1A"/>
          <w:sz w:val="21"/>
          <w:szCs w:val="21"/>
        </w:rPr>
        <w:t xml:space="preserve">Company equipment and accounts. </w:t>
      </w:r>
      <w:r>
        <w:rPr>
          <w:rFonts w:ascii="Calibri" w:cs="Calibri" w:eastAsia="Calibri" w:hAnsi="Calibri"/>
          <w:color w:val="1A1A1A"/>
          <w:sz w:val="21"/>
          <w:szCs w:val="21"/>
        </w:rPr>
        <w:t xml:space="preserve">Company-provided email, WhatsApp Business numbers, and admin accounts are for Company business. Incidental, minimal personal use of general Company equipment (e.g., checking personal email on a Company laptop) is permitted if it does not interfere with work, cost the Company money, or create security risk — but Company accounts that touch customer or student data are for business use only, with no exceptions.</w:t>
      </w:r>
    </w:p>
    <w:p>
      <w:pPr>
        <w:pStyle w:val="Heading2"/>
        <w:spacing w:after="160" w:before="360"/>
      </w:pPr>
      <w:r>
        <w:rPr>
          <w:rFonts w:ascii="Cambria" w:cs="Cambria" w:eastAsia="Cambria" w:hAnsi="Cambria"/>
          <w:b/>
          <w:bCs/>
          <w:color w:val="1A1A1A"/>
          <w:sz w:val="25"/>
          <w:szCs w:val="25"/>
        </w:rPr>
        <w:t xml:space="preserve">8. Information Security Basics</w:t>
      </w:r>
    </w:p>
    <w:p>
      <w:pPr>
        <w:spacing w:after="160" w:line="276"/>
        <w:jc w:val="both"/>
      </w:pPr>
      <w:r>
        <w:rPr>
          <w:rFonts w:ascii="Calibri" w:cs="Calibri" w:eastAsia="Calibri" w:hAnsi="Calibri"/>
          <w:b w:val="false"/>
          <w:bCs w:val="false"/>
          <w:i w:val="false"/>
          <w:iCs w:val="false"/>
          <w:color w:val="1A1A1A"/>
          <w:sz w:val="21"/>
          <w:szCs w:val="21"/>
        </w:rPr>
        <w:t xml:space="preserve">Every staff member is part of the Company's defence against data loss and cyberattack. You are expected to:</w:t>
      </w:r>
    </w:p>
    <w:p>
      <w:pPr>
        <w:pStyle w:val="ListParagraph"/>
        <w:numPr>
          <w:ilvl w:val="0"/>
          <w:numId w:val="2"/>
        </w:numPr>
        <w:spacing w:after="90" w:line="276"/>
      </w:pPr>
      <w:r>
        <w:rPr>
          <w:rFonts w:ascii="Calibri" w:cs="Calibri" w:eastAsia="Calibri" w:hAnsi="Calibri"/>
          <w:color w:val="1A1A1A"/>
          <w:sz w:val="21"/>
          <w:szCs w:val="21"/>
        </w:rPr>
        <w:t xml:space="preserve">Use a strong, unique password for every Company account and never reuse a personal password for a Company system.</w:t>
      </w:r>
    </w:p>
    <w:p>
      <w:pPr>
        <w:pStyle w:val="ListParagraph"/>
        <w:numPr>
          <w:ilvl w:val="0"/>
          <w:numId w:val="2"/>
        </w:numPr>
        <w:spacing w:after="90" w:line="276"/>
      </w:pPr>
      <w:r>
        <w:rPr>
          <w:rFonts w:ascii="Calibri" w:cs="Calibri" w:eastAsia="Calibri" w:hAnsi="Calibri"/>
          <w:color w:val="1A1A1A"/>
          <w:sz w:val="21"/>
          <w:szCs w:val="21"/>
        </w:rPr>
        <w:t xml:space="preserve">Multi-factor authentication (MFA) is mandatory on Company email and admin systems — complete setup as soon as your account prompts you to, and contact Administration right away if you are ever unable to finish enrolling.</w:t>
      </w:r>
    </w:p>
    <w:p>
      <w:pPr>
        <w:pStyle w:val="ListParagraph"/>
        <w:numPr>
          <w:ilvl w:val="0"/>
          <w:numId w:val="2"/>
        </w:numPr>
        <w:spacing w:after="90" w:line="276"/>
      </w:pPr>
      <w:r>
        <w:rPr>
          <w:rFonts w:ascii="Calibri" w:cs="Calibri" w:eastAsia="Calibri" w:hAnsi="Calibri"/>
          <w:color w:val="1A1A1A"/>
          <w:sz w:val="21"/>
          <w:szCs w:val="21"/>
        </w:rPr>
        <w:t xml:space="preserve">Never write down or share passwords, and never send them by email, chat, or text — including to colleagues.</w:t>
      </w:r>
    </w:p>
    <w:p>
      <w:pPr>
        <w:pStyle w:val="ListParagraph"/>
        <w:numPr>
          <w:ilvl w:val="0"/>
          <w:numId w:val="2"/>
        </w:numPr>
        <w:spacing w:after="90" w:line="276"/>
      </w:pPr>
      <w:r>
        <w:rPr>
          <w:rFonts w:ascii="Calibri" w:cs="Calibri" w:eastAsia="Calibri" w:hAnsi="Calibri"/>
          <w:color w:val="1A1A1A"/>
          <w:sz w:val="21"/>
          <w:szCs w:val="21"/>
        </w:rPr>
        <w:t xml:space="preserve">Lock your screen (or log out) whenever you step away from a device that can access Company systems, whether in the office, at home, or in public.</w:t>
      </w:r>
    </w:p>
    <w:p>
      <w:pPr>
        <w:pStyle w:val="ListParagraph"/>
        <w:numPr>
          <w:ilvl w:val="0"/>
          <w:numId w:val="2"/>
        </w:numPr>
        <w:spacing w:after="90" w:line="276"/>
      </w:pPr>
      <w:r>
        <w:rPr>
          <w:rFonts w:ascii="Calibri" w:cs="Calibri" w:eastAsia="Calibri" w:hAnsi="Calibri"/>
          <w:color w:val="1A1A1A"/>
          <w:sz w:val="21"/>
          <w:szCs w:val="21"/>
        </w:rPr>
        <w:t xml:space="preserve">Be alert to phishing — unexpected emails or messages asking you to click a link, log in, or share information. If something looks suspicious, do not click; report it to a supervisor.</w:t>
      </w:r>
    </w:p>
    <w:p>
      <w:pPr>
        <w:pStyle w:val="ListParagraph"/>
        <w:numPr>
          <w:ilvl w:val="0"/>
          <w:numId w:val="2"/>
        </w:numPr>
        <w:spacing w:after="90" w:line="276"/>
      </w:pPr>
      <w:r>
        <w:rPr>
          <w:rFonts w:ascii="Calibri" w:cs="Calibri" w:eastAsia="Calibri" w:hAnsi="Calibri"/>
          <w:color w:val="1A1A1A"/>
          <w:sz w:val="21"/>
          <w:szCs w:val="21"/>
        </w:rPr>
        <w:t xml:space="preserve">Keep the devices you use for work (whether Company-issued or personal, if permitted for your role) updated with current security patches, and use a screen lock/passcode on any phone used to access Company WhatsApp, email, or the admin/teacher portal.</w:t>
      </w:r>
    </w:p>
    <w:p>
      <w:pPr>
        <w:pStyle w:val="ListParagraph"/>
        <w:numPr>
          <w:ilvl w:val="0"/>
          <w:numId w:val="2"/>
        </w:numPr>
        <w:spacing w:after="90" w:line="276"/>
      </w:pPr>
      <w:r>
        <w:rPr>
          <w:rFonts w:ascii="Calibri" w:cs="Calibri" w:eastAsia="Calibri" w:hAnsi="Calibri"/>
          <w:color w:val="1A1A1A"/>
          <w:sz w:val="21"/>
          <w:szCs w:val="21"/>
        </w:rPr>
        <w:t xml:space="preserve">Report a lost or stolen device that has access to Company systems immediately, so access can be revoked.</w:t>
      </w:r>
    </w:p>
    <w:p>
      <w:pPr>
        <w:pStyle w:val="ListParagraph"/>
        <w:numPr>
          <w:ilvl w:val="0"/>
          <w:numId w:val="2"/>
        </w:numPr>
        <w:spacing w:after="90" w:line="276"/>
      </w:pPr>
      <w:r>
        <w:rPr>
          <w:rFonts w:ascii="Calibri" w:cs="Calibri" w:eastAsia="Calibri" w:hAnsi="Calibri"/>
          <w:color w:val="1A1A1A"/>
          <w:sz w:val="21"/>
          <w:szCs w:val="21"/>
        </w:rPr>
        <w:t xml:space="preserve">Never install unauthorized software on Company equipment, and never disable antivirus, firewall, or other security tools provided by the Company.</w:t>
      </w:r>
    </w:p>
    <w:p>
      <w:r>
        <w:br w:type="page"/>
      </w:r>
    </w:p>
    <w:p>
      <w:pPr>
        <w:pStyle w:val="Heading2"/>
        <w:spacing w:after="160" w:before="360"/>
      </w:pPr>
      <w:r>
        <w:rPr>
          <w:rFonts w:ascii="Cambria" w:cs="Cambria" w:eastAsia="Cambria" w:hAnsi="Cambria"/>
          <w:b/>
          <w:bCs/>
          <w:color w:val="1A1A1A"/>
          <w:sz w:val="25"/>
          <w:szCs w:val="25"/>
        </w:rPr>
        <w:t xml:space="preserve">9. Anti-Harassment, Anti-Discrimination &amp; Safeguarding Policy</w:t>
      </w:r>
    </w:p>
    <w:p>
      <w:pPr>
        <w:spacing w:after="160" w:line="276"/>
        <w:jc w:val="both"/>
      </w:pPr>
      <w:r>
        <w:rPr>
          <w:rFonts w:ascii="Calibri" w:cs="Calibri" w:eastAsia="Calibri" w:hAnsi="Calibri"/>
          <w:b w:val="false"/>
          <w:bCs w:val="false"/>
          <w:i w:val="false"/>
          <w:iCs w:val="false"/>
          <w:color w:val="1A1A1A"/>
          <w:sz w:val="21"/>
          <w:szCs w:val="21"/>
        </w:rPr>
        <w:t xml:space="preserve">Ohana Jamaica Limited is committed to a workplace, and a learning platform, free from harassment, discrimination, and any conduct that puts a minor at risk. This policy applies to interactions with colleagues, students, parents, and members of the public.</w:t>
      </w:r>
    </w:p>
    <w:p>
      <w:pPr>
        <w:pStyle w:val="Heading3"/>
        <w:spacing w:after="120" w:before="260"/>
      </w:pPr>
      <w:r>
        <w:rPr>
          <w:rFonts w:ascii="Calibri" w:cs="Calibri" w:eastAsia="Calibri" w:hAnsi="Calibri"/>
          <w:b/>
          <w:bCs/>
          <w:i w:val="false"/>
          <w:iCs w:val="false"/>
          <w:color w:val="1D6B45"/>
          <w:sz w:val="23"/>
          <w:szCs w:val="23"/>
        </w:rPr>
        <w:t xml:space="preserve">9.1 Zero tolerance for harassment &amp; discrimination</w:t>
      </w:r>
    </w:p>
    <w:p>
      <w:pPr>
        <w:spacing w:after="160" w:line="276"/>
        <w:jc w:val="both"/>
      </w:pPr>
      <w:r>
        <w:rPr>
          <w:rFonts w:ascii="Calibri" w:cs="Calibri" w:eastAsia="Calibri" w:hAnsi="Calibri"/>
          <w:b w:val="false"/>
          <w:bCs w:val="false"/>
          <w:i w:val="false"/>
          <w:iCs w:val="false"/>
          <w:color w:val="1A1A1A"/>
          <w:sz w:val="21"/>
          <w:szCs w:val="21"/>
        </w:rPr>
        <w:t xml:space="preserve">Harassment — including sexual harassment, bullying, or offensive conduct or comments based on race, colour, gender, age, religion, disability, or national origin — will not be tolerated from any staff member, toward any colleague, student, parent, or member of the public. Discrimination in hiring, assignment, discipline, or any other decision on these grounds is prohibited.</w:t>
      </w:r>
    </w:p>
    <w:p>
      <w:pPr>
        <w:pStyle w:val="Heading3"/>
        <w:spacing w:after="120" w:before="260"/>
      </w:pPr>
      <w:r>
        <w:rPr>
          <w:rFonts w:ascii="Calibri" w:cs="Calibri" w:eastAsia="Calibri" w:hAnsi="Calibri"/>
          <w:b/>
          <w:bCs/>
          <w:i w:val="false"/>
          <w:iCs w:val="false"/>
          <w:color w:val="1D6B45"/>
          <w:sz w:val="23"/>
          <w:szCs w:val="23"/>
        </w:rPr>
        <w:t xml:space="preserve">9.2 Safeguarding students — this applies especially to teachers, but to everyone</w:t>
      </w:r>
    </w:p>
    <w:tbl>
      <w:tblPr>
        <w:tblW w:type="dxa" w:w="9350"/>
        <w:tblBorders>
          <w:top w:val="single" w:color="14532D" w:sz="4"/>
          <w:left w:val="single" w:color="14532D" w:sz="24"/>
          <w:bottom w:val="single" w:color="14532D" w:sz="4"/>
          <w:right w:val="single" w:color="14532D" w:sz="4"/>
          <w:insideH w:val="none" w:color="FFFFFF" w:sz="0"/>
          <w:insideV w:val="none" w:color="FFFFFF" w:sz="0"/>
        </w:tblBorders>
      </w:tblPr>
      <w:tblGrid>
        <w:gridCol w:w="9350"/>
      </w:tblGrid>
      <w:tr>
        <w:tc>
          <w:tcPr>
            <w:tcW w:type="dxa" w:w="9350"/>
            <w:shd w:fill="E8F1EC" w:color="auto" w:val="clear"/>
            <w:tcMar>
              <w:top w:type="dxa" w:w="160"/>
              <w:left w:type="dxa" w:w="220"/>
              <w:bottom w:type="dxa" w:w="160"/>
              <w:right w:type="dxa" w:w="220"/>
            </w:tcMar>
          </w:tcPr>
          <w:p>
            <w:pPr>
              <w:spacing w:after="80"/>
            </w:pPr>
            <w:r>
              <w:rPr>
                <w:rFonts w:ascii="Calibri" w:cs="Calibri" w:eastAsia="Calibri" w:hAnsi="Calibri"/>
                <w:b/>
                <w:bCs/>
                <w:color w:val="14532D"/>
                <w:sz w:val="21"/>
                <w:szCs w:val="21"/>
              </w:rPr>
              <w:t xml:space="preserve">Non-negotiable safeguarding rules</w:t>
            </w:r>
          </w:p>
          <w:p>
            <w:pPr>
              <w:spacing w:after="80" w:line="264"/>
            </w:pPr>
            <w:r>
              <w:rPr>
                <w:rFonts w:ascii="Calibri" w:cs="Calibri" w:eastAsia="Calibri" w:hAnsi="Calibri"/>
                <w:color w:val="1A1A1A"/>
                <w:sz w:val="20"/>
                <w:szCs w:val="20"/>
              </w:rPr>
              <w:t xml:space="preserve">All communication with a student must happen through the EduJA platform (in-platform messaging, or scheduled voice/video sessions through the platform's booking system) — never through a staff member's personal phone number, personal social media, or personal email.</w:t>
            </w:r>
          </w:p>
          <w:p>
            <w:pPr>
              <w:spacing w:after="80" w:line="264"/>
            </w:pPr>
            <w:r>
              <w:rPr>
                <w:rFonts w:ascii="Calibri" w:cs="Calibri" w:eastAsia="Calibri" w:hAnsi="Calibri"/>
                <w:color w:val="1A1A1A"/>
                <w:sz w:val="20"/>
                <w:szCs w:val="20"/>
              </w:rPr>
              <w:t xml:space="preserve">Never meet a student in person outside a Company-organized and parent/guardian-aware context.</w:t>
            </w:r>
          </w:p>
          <w:p>
            <w:pPr>
              <w:spacing w:after="80" w:line="264"/>
            </w:pPr>
            <w:r>
              <w:rPr>
                <w:rFonts w:ascii="Calibri" w:cs="Calibri" w:eastAsia="Calibri" w:hAnsi="Calibri"/>
                <w:color w:val="1A1A1A"/>
                <w:sz w:val="20"/>
                <w:szCs w:val="20"/>
              </w:rPr>
              <w:t xml:space="preserve">Voice/video sessions must stay on-topic (academic support) and professional in tone at all times.</w:t>
            </w:r>
          </w:p>
          <w:p>
            <w:pPr>
              <w:spacing w:after="80" w:line="264"/>
            </w:pPr>
            <w:r>
              <w:rPr>
                <w:rFonts w:ascii="Calibri" w:cs="Calibri" w:eastAsia="Calibri" w:hAnsi="Calibri"/>
                <w:color w:val="1A1A1A"/>
                <w:sz w:val="20"/>
                <w:szCs w:val="20"/>
              </w:rPr>
              <w:t xml:space="preserve">Never ask a student for personal information unrelated to their coursework, and never request or accept photos, gifts, or favours from a student.</w:t>
            </w:r>
          </w:p>
          <w:p>
            <w:pPr>
              <w:spacing w:after="80" w:line="264"/>
            </w:pPr>
            <w:r>
              <w:rPr>
                <w:rFonts w:ascii="Calibri" w:cs="Calibri" w:eastAsia="Calibri" w:hAnsi="Calibri"/>
                <w:color w:val="1A1A1A"/>
                <w:sz w:val="20"/>
                <w:szCs w:val="20"/>
              </w:rPr>
              <w:t xml:space="preserve">If a student discloses something concerning — abuse, self-harm, a safety risk, or anything that worries you — do not try to handle it alone. Report it to a supervisor or the CEO immediately, the same day if at all possible.</w:t>
            </w:r>
          </w:p>
        </w:tc>
      </w:tr>
    </w:tbl>
    <w:p>
      <w:pPr>
        <w:spacing w:after="120"/>
      </w:pPr>
    </w:p>
    <w:p>
      <w:pPr>
        <w:pStyle w:val="Heading3"/>
        <w:spacing w:after="120" w:before="260"/>
      </w:pPr>
      <w:r>
        <w:rPr>
          <w:rFonts w:ascii="Calibri" w:cs="Calibri" w:eastAsia="Calibri" w:hAnsi="Calibri"/>
          <w:b/>
          <w:bCs/>
          <w:i w:val="false"/>
          <w:iCs w:val="false"/>
          <w:color w:val="1D6B45"/>
          <w:sz w:val="23"/>
          <w:szCs w:val="23"/>
        </w:rPr>
        <w:t xml:space="preserve">9.3 Reporting</w:t>
      </w:r>
    </w:p>
    <w:p>
      <w:pPr>
        <w:spacing w:after="160" w:line="276"/>
        <w:jc w:val="both"/>
      </w:pPr>
      <w:r>
        <w:rPr>
          <w:rFonts w:ascii="Calibri" w:cs="Calibri" w:eastAsia="Calibri" w:hAnsi="Calibri"/>
          <w:b w:val="false"/>
          <w:bCs w:val="false"/>
          <w:i w:val="false"/>
          <w:iCs w:val="false"/>
          <w:color w:val="1A1A1A"/>
          <w:sz w:val="21"/>
          <w:szCs w:val="21"/>
        </w:rPr>
        <w:t xml:space="preserve">Report any incident of harassment, discrimination, or a safeguarding concern to your direct supervisor or, if that is not appropriate (for example, if the supervisor is involved), directly to the CEO. Reports are treated seriously, investigated promptly, and handled as confidentially as the situation allows. The Company will not retaliate against anyone who reports a concern in good faith, and retaliation against a person who reports in good faith is itself a serious disciplinary matter.</w:t>
      </w:r>
    </w:p>
    <w:p>
      <w:r>
        <w:br w:type="page"/>
      </w:r>
    </w:p>
    <w:p>
      <w:pPr>
        <w:pStyle w:val="Heading2"/>
        <w:spacing w:after="160" w:before="360"/>
      </w:pPr>
      <w:r>
        <w:rPr>
          <w:rFonts w:ascii="Cambria" w:cs="Cambria" w:eastAsia="Cambria" w:hAnsi="Cambria"/>
          <w:b/>
          <w:bCs/>
          <w:color w:val="1A1A1A"/>
          <w:sz w:val="25"/>
          <w:szCs w:val="25"/>
        </w:rPr>
        <w:t xml:space="preserve">10. Workplace Policies</w:t>
      </w:r>
    </w:p>
    <w:p>
      <w:pPr>
        <w:spacing w:after="160" w:line="276"/>
        <w:jc w:val="both"/>
      </w:pPr>
      <w:r>
        <w:rPr>
          <w:rFonts w:ascii="Calibri" w:cs="Calibri" w:eastAsia="Calibri" w:hAnsi="Calibri"/>
          <w:b w:val="false"/>
          <w:bCs w:val="false"/>
          <w:i w:val="false"/>
          <w:iCs w:val="false"/>
          <w:color w:val="1A1A1A"/>
          <w:sz w:val="21"/>
          <w:szCs w:val="21"/>
        </w:rPr>
        <w:t xml:space="preserve">The policies below apply to Company employees. Where a policy is a statutory entitlement (leave, notice, etc.), it reflects the minimum standards of Jamaican employment law current as of the effective date of this handbook; the Company's actual terms for you are set out in your individual letter of engagement or contract, which will never offer less than the statutory minimum. Independent contractors (including many of our teachers) are engaged under separate written agreements that govern hours, payment, and termination for that engagement — the statutory leave, hours, and termination-notice provisions below do not apply to a genuine independent contractor relationship, but the conduct, confidentiality, and data protection sections of this handbook (§4–§9) do.</w:t>
      </w:r>
    </w:p>
    <w:p>
      <w:pPr>
        <w:pStyle w:val="Heading3"/>
        <w:spacing w:after="120" w:before="260"/>
      </w:pPr>
      <w:r>
        <w:rPr>
          <w:rFonts w:ascii="Calibri" w:cs="Calibri" w:eastAsia="Calibri" w:hAnsi="Calibri"/>
          <w:b/>
          <w:bCs/>
          <w:i w:val="false"/>
          <w:iCs w:val="false"/>
          <w:color w:val="1D6B45"/>
          <w:sz w:val="23"/>
          <w:szCs w:val="23"/>
        </w:rPr>
        <w:t xml:space="preserve">10.1 Employment classification</w:t>
      </w:r>
    </w:p>
    <w:p>
      <w:pPr>
        <w:spacing w:after="160" w:line="276"/>
        <w:jc w:val="both"/>
      </w:pPr>
      <w:r>
        <w:rPr>
          <w:rFonts w:ascii="Calibri" w:cs="Calibri" w:eastAsia="Calibri" w:hAnsi="Calibri"/>
          <w:b w:val="false"/>
          <w:bCs w:val="false"/>
          <w:i w:val="false"/>
          <w:iCs w:val="false"/>
          <w:color w:val="1A1A1A"/>
          <w:sz w:val="21"/>
          <w:szCs w:val="21"/>
        </w:rPr>
        <w:t xml:space="preserve">Your offer letter or engagement agreement states whether you are engaged as an employee or as an independent contractor. This matters for how you are paid, taxed, and what statutory benefits apply. If you are unsure which applies to you, ask your supervisor or the CEO.</w:t>
      </w:r>
    </w:p>
    <w:p>
      <w:pPr>
        <w:pStyle w:val="Heading3"/>
        <w:spacing w:after="120" w:before="260"/>
      </w:pPr>
      <w:r>
        <w:rPr>
          <w:rFonts w:ascii="Calibri" w:cs="Calibri" w:eastAsia="Calibri" w:hAnsi="Calibri"/>
          <w:b/>
          <w:bCs/>
          <w:i w:val="false"/>
          <w:iCs w:val="false"/>
          <w:color w:val="1D6B45"/>
          <w:sz w:val="23"/>
          <w:szCs w:val="23"/>
        </w:rPr>
        <w:t xml:space="preserve">10.2 Working hours &amp; attendance</w:t>
      </w:r>
    </w:p>
    <w:p>
      <w:pPr>
        <w:spacing w:after="160" w:line="276"/>
        <w:jc w:val="both"/>
      </w:pPr>
      <w:r>
        <w:rPr>
          <w:rFonts w:ascii="Calibri" w:cs="Calibri" w:eastAsia="Calibri" w:hAnsi="Calibri"/>
          <w:b w:val="false"/>
          <w:bCs w:val="false"/>
          <w:i w:val="false"/>
          <w:iCs w:val="false"/>
          <w:color w:val="1A1A1A"/>
          <w:sz w:val="21"/>
          <w:szCs w:val="21"/>
        </w:rPr>
        <w:t xml:space="preserve">The standard Jamaican work week is 40 hours, typically 8 hours per day. Your specific schedule (including any shift, part-time, or flexible arrangement) is set by your supervisor and stated in your engagement letter. Punctuality and reliable attendance are part of the professional standard in §4 — if you will be late or absent, notify your supervisor as early as possible, and in any event before your shift or scheduled class begins.</w:t>
      </w:r>
    </w:p>
    <w:p>
      <w:pPr>
        <w:pStyle w:val="Heading3"/>
        <w:spacing w:after="120" w:before="260"/>
      </w:pPr>
      <w:r>
        <w:rPr>
          <w:rFonts w:ascii="Calibri" w:cs="Calibri" w:eastAsia="Calibri" w:hAnsi="Calibri"/>
          <w:b/>
          <w:bCs/>
          <w:i w:val="false"/>
          <w:iCs w:val="false"/>
          <w:color w:val="1D6B45"/>
          <w:sz w:val="23"/>
          <w:szCs w:val="23"/>
        </w:rPr>
        <w:t xml:space="preserve">10.3 Overtime</w:t>
      </w:r>
    </w:p>
    <w:p>
      <w:pPr>
        <w:spacing w:after="160" w:line="276"/>
        <w:jc w:val="both"/>
      </w:pPr>
      <w:r>
        <w:rPr>
          <w:rFonts w:ascii="Calibri" w:cs="Calibri" w:eastAsia="Calibri" w:hAnsi="Calibri"/>
          <w:b w:val="false"/>
          <w:bCs w:val="false"/>
          <w:i w:val="false"/>
          <w:iCs w:val="false"/>
          <w:color w:val="1A1A1A"/>
          <w:sz w:val="21"/>
          <w:szCs w:val="21"/>
        </w:rPr>
        <w:t xml:space="preserve">Where a non-exempt employee is required to work beyond their normal scheduled hours, overtime is compensated at a minimum of one and one-half (1.5) times the normal hourly rate, consistent with Jamaican law. Overtime must be authorized in advance by a supervisor.</w:t>
      </w:r>
    </w:p>
    <w:p>
      <w:pPr>
        <w:pStyle w:val="Heading3"/>
        <w:spacing w:after="120" w:before="260"/>
      </w:pPr>
      <w:r>
        <w:rPr>
          <w:rFonts w:ascii="Calibri" w:cs="Calibri" w:eastAsia="Calibri" w:hAnsi="Calibri"/>
          <w:b/>
          <w:bCs/>
          <w:i w:val="false"/>
          <w:iCs w:val="false"/>
          <w:color w:val="1D6B45"/>
          <w:sz w:val="23"/>
          <w:szCs w:val="23"/>
        </w:rPr>
        <w:t xml:space="preserve">10.4 Leave entitlements (employees)</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500"/>
        <w:gridCol w:w="6850"/>
      </w:tblGrid>
      <w:tr>
        <w:tc>
          <w:tcPr>
            <w:tcW w:type="dxa" w:w="2500"/>
            <w:shd w:fill="14532D" w:color="auto" w:val="clear"/>
            <w:tcMar>
              <w:top w:type="dxa" w:w="90"/>
              <w:left w:type="dxa" w:w="120"/>
              <w:bottom w:type="dxa" w:w="90"/>
              <w:right w:type="dxa" w:w="120"/>
            </w:tcMar>
          </w:tcPr>
          <w:p>
            <w:r>
              <w:rPr>
                <w:rFonts w:ascii="Calibri" w:cs="Calibri" w:eastAsia="Calibri" w:hAnsi="Calibri"/>
                <w:b/>
                <w:bCs/>
                <w:color w:val="FFFFFF"/>
                <w:sz w:val="19"/>
                <w:szCs w:val="19"/>
              </w:rPr>
              <w:t xml:space="preserve">Type of leave</w:t>
            </w:r>
          </w:p>
        </w:tc>
        <w:tc>
          <w:tcPr>
            <w:tcW w:type="dxa" w:w="6850"/>
            <w:shd w:fill="14532D" w:color="auto" w:val="clear"/>
            <w:tcMar>
              <w:top w:type="dxa" w:w="90"/>
              <w:left w:type="dxa" w:w="120"/>
              <w:bottom w:type="dxa" w:w="90"/>
              <w:right w:type="dxa" w:w="120"/>
            </w:tcMar>
          </w:tcPr>
          <w:p>
            <w:r>
              <w:rPr>
                <w:rFonts w:ascii="Calibri" w:cs="Calibri" w:eastAsia="Calibri" w:hAnsi="Calibri"/>
                <w:b/>
                <w:bCs/>
                <w:color w:val="FFFFFF"/>
                <w:sz w:val="19"/>
                <w:szCs w:val="19"/>
              </w:rPr>
              <w:t xml:space="preserve">Standard entitlement</w:t>
            </w:r>
          </w:p>
        </w:tc>
      </w:tr>
      <w:tr>
        <w:tc>
          <w:tcPr>
            <w:tcW w:type="dxa" w:w="2500"/>
            <w:tcMar>
              <w:top w:type="dxa" w:w="90"/>
              <w:left w:type="dxa" w:w="120"/>
              <w:bottom w:type="dxa" w:w="90"/>
              <w:right w:type="dxa" w:w="120"/>
            </w:tcMar>
          </w:tcPr>
          <w:p>
            <w:r>
              <w:rPr>
                <w:rFonts w:ascii="Calibri" w:cs="Calibri" w:eastAsia="Calibri" w:hAnsi="Calibri"/>
                <w:b w:val="false"/>
                <w:bCs w:val="false"/>
                <w:color w:val="1A1A1A"/>
                <w:sz w:val="19"/>
                <w:szCs w:val="19"/>
              </w:rPr>
              <w:t xml:space="preserve">Annual/vacation leave</w:t>
            </w:r>
          </w:p>
        </w:tc>
        <w:tc>
          <w:tcPr>
            <w:tcW w:type="dxa" w:w="6850"/>
            <w:tcMar>
              <w:top w:type="dxa" w:w="90"/>
              <w:left w:type="dxa" w:w="120"/>
              <w:bottom w:type="dxa" w:w="90"/>
              <w:right w:type="dxa" w:w="120"/>
            </w:tcMar>
          </w:tcPr>
          <w:p>
            <w:r>
              <w:rPr>
                <w:rFonts w:ascii="Calibri" w:cs="Calibri" w:eastAsia="Calibri" w:hAnsi="Calibri"/>
                <w:b w:val="false"/>
                <w:bCs w:val="false"/>
                <w:color w:val="1A1A1A"/>
                <w:sz w:val="19"/>
                <w:szCs w:val="19"/>
              </w:rPr>
              <w:t xml:space="preserve">A minimum of 14 working days of paid annual leave per year for full-time employees, rising to 3 weeks after 10 years of continuous service, consistent with Jamaican law. Leave should be requested in advance and approved by a supervisor, taking into account operational needs (for teachers, around the school calendar).</w:t>
            </w:r>
          </w:p>
        </w:tc>
      </w:tr>
      <w:tr>
        <w:tc>
          <w:tcPr>
            <w:tcW w:type="dxa" w:w="2500"/>
            <w:shd w:fill="F5F8F6" w:color="auto" w:val="clear"/>
            <w:tcMar>
              <w:top w:type="dxa" w:w="90"/>
              <w:left w:type="dxa" w:w="120"/>
              <w:bottom w:type="dxa" w:w="90"/>
              <w:right w:type="dxa" w:w="120"/>
            </w:tcMar>
          </w:tcPr>
          <w:p>
            <w:r>
              <w:rPr>
                <w:rFonts w:ascii="Calibri" w:cs="Calibri" w:eastAsia="Calibri" w:hAnsi="Calibri"/>
                <w:b w:val="false"/>
                <w:bCs w:val="false"/>
                <w:color w:val="1A1A1A"/>
                <w:sz w:val="19"/>
                <w:szCs w:val="19"/>
              </w:rPr>
              <w:t xml:space="preserve">Sick leave</w:t>
            </w:r>
          </w:p>
        </w:tc>
        <w:tc>
          <w:tcPr>
            <w:tcW w:type="dxa" w:w="6850"/>
            <w:shd w:fill="F5F8F6" w:color="auto" w:val="clear"/>
            <w:tcMar>
              <w:top w:type="dxa" w:w="90"/>
              <w:left w:type="dxa" w:w="120"/>
              <w:bottom w:type="dxa" w:w="90"/>
              <w:right w:type="dxa" w:w="120"/>
            </w:tcMar>
          </w:tcPr>
          <w:p>
            <w:r>
              <w:rPr>
                <w:rFonts w:ascii="Calibri" w:cs="Calibri" w:eastAsia="Calibri" w:hAnsi="Calibri"/>
                <w:b w:val="false"/>
                <w:bCs w:val="false"/>
                <w:color w:val="1A1A1A"/>
                <w:sz w:val="19"/>
                <w:szCs w:val="19"/>
              </w:rPr>
              <w:t xml:space="preserve">In the first year, sick leave accrues at a rate of roughly 1 day per 22 days worked after 110 days of employment; after 12 months of continuous service, employees are entitled to 10 days of paid sick leave per year. A medical certificate may be required for absences beyond 2 consecutive days.</w:t>
            </w:r>
          </w:p>
        </w:tc>
      </w:tr>
      <w:tr>
        <w:tc>
          <w:tcPr>
            <w:tcW w:type="dxa" w:w="2500"/>
            <w:tcMar>
              <w:top w:type="dxa" w:w="90"/>
              <w:left w:type="dxa" w:w="120"/>
              <w:bottom w:type="dxa" w:w="90"/>
              <w:right w:type="dxa" w:w="120"/>
            </w:tcMar>
          </w:tcPr>
          <w:p>
            <w:r>
              <w:rPr>
                <w:rFonts w:ascii="Calibri" w:cs="Calibri" w:eastAsia="Calibri" w:hAnsi="Calibri"/>
                <w:b w:val="false"/>
                <w:bCs w:val="false"/>
                <w:color w:val="1A1A1A"/>
                <w:sz w:val="19"/>
                <w:szCs w:val="19"/>
              </w:rPr>
              <w:t xml:space="preserve">Maternity leave</w:t>
            </w:r>
          </w:p>
        </w:tc>
        <w:tc>
          <w:tcPr>
            <w:tcW w:type="dxa" w:w="6850"/>
            <w:tcMar>
              <w:top w:type="dxa" w:w="90"/>
              <w:left w:type="dxa" w:w="120"/>
              <w:bottom w:type="dxa" w:w="90"/>
              <w:right w:type="dxa" w:w="120"/>
            </w:tcMar>
          </w:tcPr>
          <w:p>
            <w:r>
              <w:rPr>
                <w:rFonts w:ascii="Calibri" w:cs="Calibri" w:eastAsia="Calibri" w:hAnsi="Calibri"/>
                <w:b w:val="false"/>
                <w:bCs w:val="false"/>
                <w:color w:val="1A1A1A"/>
                <w:sz w:val="19"/>
                <w:szCs w:val="19"/>
              </w:rPr>
              <w:t xml:space="preserve">Employees with at least one year of continuous service are entitled to 12 weeks (60 working days) of paid maternity leave, in accordance with Jamaican law.</w:t>
            </w:r>
          </w:p>
        </w:tc>
      </w:tr>
      <w:tr>
        <w:tc>
          <w:tcPr>
            <w:tcW w:type="dxa" w:w="2500"/>
            <w:shd w:fill="F5F8F6" w:color="auto" w:val="clear"/>
            <w:tcMar>
              <w:top w:type="dxa" w:w="90"/>
              <w:left w:type="dxa" w:w="120"/>
              <w:bottom w:type="dxa" w:w="90"/>
              <w:right w:type="dxa" w:w="120"/>
            </w:tcMar>
          </w:tcPr>
          <w:p>
            <w:r>
              <w:rPr>
                <w:rFonts w:ascii="Calibri" w:cs="Calibri" w:eastAsia="Calibri" w:hAnsi="Calibri"/>
                <w:b w:val="false"/>
                <w:bCs w:val="false"/>
                <w:color w:val="1A1A1A"/>
                <w:sz w:val="19"/>
                <w:szCs w:val="19"/>
              </w:rPr>
              <w:t xml:space="preserve">Paternity leave</w:t>
            </w:r>
          </w:p>
        </w:tc>
        <w:tc>
          <w:tcPr>
            <w:tcW w:type="dxa" w:w="6850"/>
            <w:shd w:fill="F5F8F6" w:color="auto" w:val="clear"/>
            <w:tcMar>
              <w:top w:type="dxa" w:w="90"/>
              <w:left w:type="dxa" w:w="120"/>
              <w:bottom w:type="dxa" w:w="90"/>
              <w:right w:type="dxa" w:w="120"/>
            </w:tcMar>
          </w:tcPr>
          <w:p>
            <w:r>
              <w:rPr>
                <w:rFonts w:ascii="Calibri" w:cs="Calibri" w:eastAsia="Calibri" w:hAnsi="Calibri"/>
                <w:b w:val="false"/>
                <w:bCs w:val="false"/>
                <w:color w:val="1A1A1A"/>
                <w:sz w:val="19"/>
                <w:szCs w:val="19"/>
              </w:rPr>
              <w:t xml:space="preserve">Eligible fathers are entitled to up to 20 working days of paid leave, to be taken within six months of the child's birth.</w:t>
            </w:r>
          </w:p>
        </w:tc>
      </w:tr>
      <w:tr>
        <w:tc>
          <w:tcPr>
            <w:tcW w:type="dxa" w:w="2500"/>
            <w:tcMar>
              <w:top w:type="dxa" w:w="90"/>
              <w:left w:type="dxa" w:w="120"/>
              <w:bottom w:type="dxa" w:w="90"/>
              <w:right w:type="dxa" w:w="120"/>
            </w:tcMar>
          </w:tcPr>
          <w:p>
            <w:r>
              <w:rPr>
                <w:rFonts w:ascii="Calibri" w:cs="Calibri" w:eastAsia="Calibri" w:hAnsi="Calibri"/>
                <w:b w:val="false"/>
                <w:bCs w:val="false"/>
                <w:color w:val="1A1A1A"/>
                <w:sz w:val="19"/>
                <w:szCs w:val="19"/>
              </w:rPr>
              <w:t xml:space="preserve">Public holidays</w:t>
            </w:r>
          </w:p>
        </w:tc>
        <w:tc>
          <w:tcPr>
            <w:tcW w:type="dxa" w:w="6850"/>
            <w:tcMar>
              <w:top w:type="dxa" w:w="90"/>
              <w:left w:type="dxa" w:w="120"/>
              <w:bottom w:type="dxa" w:w="90"/>
              <w:right w:type="dxa" w:w="120"/>
            </w:tcMar>
          </w:tcPr>
          <w:p>
            <w:r>
              <w:rPr>
                <w:rFonts w:ascii="Calibri" w:cs="Calibri" w:eastAsia="Calibri" w:hAnsi="Calibri"/>
                <w:b w:val="false"/>
                <w:bCs w:val="false"/>
                <w:color w:val="1A1A1A"/>
                <w:sz w:val="19"/>
                <w:szCs w:val="19"/>
              </w:rPr>
              <w:t xml:space="preserve">EduJA observes Jamaica's 10 official public holidays: New Year's Day, Ash Wednesday (where observed), Good Friday, Easter Monday, Labour Day, Emancipation Day, Independence Day, National Heroes' Day, Christmas Day, and Boxing Day.</w:t>
            </w:r>
          </w:p>
        </w:tc>
      </w:tr>
    </w:tbl>
    <w:p>
      <w:pPr>
        <w:spacing w:after="160"/>
      </w:pPr>
    </w:p>
    <w:p>
      <w:pPr>
        <w:pStyle w:val="Heading3"/>
        <w:spacing w:after="120" w:before="260"/>
      </w:pPr>
      <w:r>
        <w:rPr>
          <w:rFonts w:ascii="Calibri" w:cs="Calibri" w:eastAsia="Calibri" w:hAnsi="Calibri"/>
          <w:b/>
          <w:bCs/>
          <w:i w:val="false"/>
          <w:iCs w:val="false"/>
          <w:color w:val="1D6B45"/>
          <w:sz w:val="23"/>
          <w:szCs w:val="23"/>
        </w:rPr>
        <w:t xml:space="preserve">10.5 Dress code &amp; professional appearance</w:t>
      </w:r>
    </w:p>
    <w:p>
      <w:pPr>
        <w:spacing w:after="160" w:line="276"/>
        <w:jc w:val="both"/>
      </w:pPr>
      <w:r>
        <w:rPr>
          <w:rFonts w:ascii="Calibri" w:cs="Calibri" w:eastAsia="Calibri" w:hAnsi="Calibri"/>
          <w:b w:val="false"/>
          <w:bCs w:val="false"/>
          <w:i w:val="false"/>
          <w:iCs w:val="false"/>
          <w:color w:val="1A1A1A"/>
          <w:sz w:val="21"/>
          <w:szCs w:val="21"/>
        </w:rPr>
        <w:t xml:space="preserve">In the office, and on any video call with a parent, student, or customer, staff should present themselves neatly and professionally. Business-casual attire is the standard for office and administrative staff. Teachers on video calls with students should dress and set up their background as they would for an in-person class — professional, free of distracting or inappropriate content. Sales staff meeting customers in person should dress in a manner that reflects well on the Company.</w:t>
      </w:r>
    </w:p>
    <w:p>
      <w:pPr>
        <w:pStyle w:val="Heading3"/>
        <w:spacing w:after="120" w:before="260"/>
      </w:pPr>
      <w:r>
        <w:rPr>
          <w:rFonts w:ascii="Calibri" w:cs="Calibri" w:eastAsia="Calibri" w:hAnsi="Calibri"/>
          <w:b/>
          <w:bCs/>
          <w:i w:val="false"/>
          <w:iCs w:val="false"/>
          <w:color w:val="1D6B45"/>
          <w:sz w:val="23"/>
          <w:szCs w:val="23"/>
        </w:rPr>
        <w:t xml:space="preserve">10.6 Remote &amp; flexible work</w:t>
      </w:r>
    </w:p>
    <w:p>
      <w:pPr>
        <w:spacing w:after="160" w:line="276"/>
        <w:jc w:val="both"/>
      </w:pPr>
      <w:r>
        <w:rPr>
          <w:rFonts w:ascii="Calibri" w:cs="Calibri" w:eastAsia="Calibri" w:hAnsi="Calibri"/>
          <w:b w:val="false"/>
          <w:bCs w:val="false"/>
          <w:i w:val="false"/>
          <w:iCs w:val="false"/>
          <w:color w:val="1A1A1A"/>
          <w:sz w:val="21"/>
          <w:szCs w:val="21"/>
        </w:rPr>
        <w:t xml:space="preserve">Many EduJA roles, particularly teaching and some sales and administrative functions, are performed remotely in whole or in part. Staff approved to work remotely are expected to maintain the same standards of confidentiality (§5), data protection (§6), and information security (§8) as they would in the office — including using a private, secure internet connection, keeping devices locked when not in use, and not letting family members or others access Company systems or view confidential information on their screen.</w:t>
      </w:r>
    </w:p>
    <w:p>
      <w:pPr>
        <w:pStyle w:val="Heading3"/>
        <w:spacing w:after="120" w:before="260"/>
      </w:pPr>
      <w:r>
        <w:rPr>
          <w:rFonts w:ascii="Calibri" w:cs="Calibri" w:eastAsia="Calibri" w:hAnsi="Calibri"/>
          <w:b/>
          <w:bCs/>
          <w:i w:val="false"/>
          <w:iCs w:val="false"/>
          <w:color w:val="1D6B45"/>
          <w:sz w:val="23"/>
          <w:szCs w:val="23"/>
        </w:rPr>
        <w:t xml:space="preserve">10.7 Performance &amp; discipline</w:t>
      </w:r>
    </w:p>
    <w:p>
      <w:pPr>
        <w:spacing w:after="160" w:line="276"/>
        <w:jc w:val="both"/>
      </w:pPr>
      <w:r>
        <w:rPr>
          <w:rFonts w:ascii="Calibri" w:cs="Calibri" w:eastAsia="Calibri" w:hAnsi="Calibri"/>
          <w:b w:val="false"/>
          <w:bCs w:val="false"/>
          <w:i w:val="false"/>
          <w:iCs w:val="false"/>
          <w:color w:val="1A1A1A"/>
          <w:sz w:val="21"/>
          <w:szCs w:val="21"/>
        </w:rPr>
        <w:t xml:space="preserve">Supervisors will provide regular feedback on performance. Where conduct or performance falls short of the standards in this handbook, the Company generally follows a progressive discipline process — though the severity of the issue determines where the process starts, and some conduct (for example, a serious breach of confidentiality, a safeguarding violation, or dishonesty) may justify immediate termination without going through each step:</w:t>
      </w:r>
    </w:p>
    <w:p>
      <w:pPr>
        <w:pStyle w:val="ListParagraph"/>
        <w:numPr>
          <w:ilvl w:val="0"/>
          <w:numId w:val="4"/>
        </w:numPr>
        <w:spacing w:after="100" w:line="276"/>
      </w:pPr>
      <w:r>
        <w:rPr>
          <w:rFonts w:ascii="Calibri" w:cs="Calibri" w:eastAsia="Calibri" w:hAnsi="Calibri"/>
          <w:color w:val="1A1A1A"/>
          <w:sz w:val="21"/>
          <w:szCs w:val="21"/>
        </w:rPr>
        <w:t xml:space="preserve">Verbal warning and coaching, documented in your file.</w:t>
      </w:r>
    </w:p>
    <w:p>
      <w:pPr>
        <w:pStyle w:val="ListParagraph"/>
        <w:numPr>
          <w:ilvl w:val="0"/>
          <w:numId w:val="4"/>
        </w:numPr>
        <w:spacing w:after="100" w:line="276"/>
      </w:pPr>
      <w:r>
        <w:rPr>
          <w:rFonts w:ascii="Calibri" w:cs="Calibri" w:eastAsia="Calibri" w:hAnsi="Calibri"/>
          <w:color w:val="1A1A1A"/>
          <w:sz w:val="21"/>
          <w:szCs w:val="21"/>
        </w:rPr>
        <w:t xml:space="preserve">Written warning, setting out the issue and the improvement expected.</w:t>
      </w:r>
    </w:p>
    <w:p>
      <w:pPr>
        <w:pStyle w:val="ListParagraph"/>
        <w:numPr>
          <w:ilvl w:val="0"/>
          <w:numId w:val="4"/>
        </w:numPr>
        <w:spacing w:after="100" w:line="276"/>
      </w:pPr>
      <w:r>
        <w:rPr>
          <w:rFonts w:ascii="Calibri" w:cs="Calibri" w:eastAsia="Calibri" w:hAnsi="Calibri"/>
          <w:color w:val="1A1A1A"/>
          <w:sz w:val="21"/>
          <w:szCs w:val="21"/>
        </w:rPr>
        <w:t xml:space="preserve">Final written warning.</w:t>
      </w:r>
    </w:p>
    <w:p>
      <w:pPr>
        <w:pStyle w:val="ListParagraph"/>
        <w:numPr>
          <w:ilvl w:val="0"/>
          <w:numId w:val="4"/>
        </w:numPr>
        <w:spacing w:after="100" w:line="276"/>
      </w:pPr>
      <w:r>
        <w:rPr>
          <w:rFonts w:ascii="Calibri" w:cs="Calibri" w:eastAsia="Calibri" w:hAnsi="Calibri"/>
          <w:color w:val="1A1A1A"/>
          <w:sz w:val="21"/>
          <w:szCs w:val="21"/>
        </w:rPr>
        <w:t xml:space="preserve">Termination of employment or engagement.</w:t>
      </w:r>
    </w:p>
    <w:p>
      <w:pPr>
        <w:spacing w:after="160" w:line="276"/>
        <w:jc w:val="both"/>
      </w:pPr>
      <w:r>
        <w:rPr>
          <w:rFonts w:ascii="Calibri" w:cs="Calibri" w:eastAsia="Calibri" w:hAnsi="Calibri"/>
          <w:b w:val="false"/>
          <w:bCs w:val="false"/>
          <w:i w:val="false"/>
          <w:iCs w:val="false"/>
          <w:color w:val="1A1A1A"/>
          <w:sz w:val="21"/>
          <w:szCs w:val="21"/>
        </w:rPr>
        <w:t xml:space="preserve">You will be given a fair opportunity to explain your side before a formal disciplinary step is taken, consistent with the principles of natural justice under Jamaican labour law.</w:t>
      </w:r>
    </w:p>
    <w:p>
      <w:pPr>
        <w:pStyle w:val="Heading3"/>
        <w:spacing w:after="120" w:before="260"/>
      </w:pPr>
      <w:r>
        <w:rPr>
          <w:rFonts w:ascii="Calibri" w:cs="Calibri" w:eastAsia="Calibri" w:hAnsi="Calibri"/>
          <w:b/>
          <w:bCs/>
          <w:i w:val="false"/>
          <w:iCs w:val="false"/>
          <w:color w:val="1D6B45"/>
          <w:sz w:val="23"/>
          <w:szCs w:val="23"/>
        </w:rPr>
        <w:t xml:space="preserve">10.8 Grievance procedure</w:t>
      </w:r>
    </w:p>
    <w:p>
      <w:pPr>
        <w:spacing w:after="160" w:line="276"/>
        <w:jc w:val="both"/>
      </w:pPr>
      <w:r>
        <w:rPr>
          <w:rFonts w:ascii="Calibri" w:cs="Calibri" w:eastAsia="Calibri" w:hAnsi="Calibri"/>
          <w:b w:val="false"/>
          <w:bCs w:val="false"/>
          <w:i w:val="false"/>
          <w:iCs w:val="false"/>
          <w:color w:val="1A1A1A"/>
          <w:sz w:val="21"/>
          <w:szCs w:val="21"/>
        </w:rPr>
        <w:t xml:space="preserve">If you have a workplace concern — about a policy, a decision, or a colleague's conduct — raise it first with your direct supervisor. If the concern involves your supervisor, or you are not satisfied with the response, you may raise it directly with the CEO. Grievances will be looked into promptly and in confidence to the extent possible.</w:t>
      </w:r>
    </w:p>
    <w:p>
      <w:pPr>
        <w:pStyle w:val="Heading3"/>
        <w:spacing w:after="120" w:before="260"/>
      </w:pPr>
      <w:r>
        <w:rPr>
          <w:rFonts w:ascii="Calibri" w:cs="Calibri" w:eastAsia="Calibri" w:hAnsi="Calibri"/>
          <w:b/>
          <w:bCs/>
          <w:i w:val="false"/>
          <w:iCs w:val="false"/>
          <w:color w:val="1D6B45"/>
          <w:sz w:val="23"/>
          <w:szCs w:val="23"/>
        </w:rPr>
        <w:t xml:space="preserve">10.9 Termination &amp; notice</w:t>
      </w:r>
    </w:p>
    <w:p>
      <w:pPr>
        <w:spacing w:after="160" w:line="276"/>
        <w:jc w:val="both"/>
      </w:pPr>
      <w:r>
        <w:rPr>
          <w:rFonts w:ascii="Calibri" w:cs="Calibri" w:eastAsia="Calibri" w:hAnsi="Calibri"/>
          <w:b w:val="false"/>
          <w:bCs w:val="false"/>
          <w:i w:val="false"/>
          <w:iCs w:val="false"/>
          <w:color w:val="1A1A1A"/>
          <w:sz w:val="21"/>
          <w:szCs w:val="21"/>
        </w:rPr>
        <w:t xml:space="preserve">For employees, minimum statutory notice of termination (from either side, absent cause) follows length of continuous service under Jamaican law:</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4600"/>
        <w:gridCol w:w="4750"/>
      </w:tblGrid>
      <w:tr>
        <w:tc>
          <w:tcPr>
            <w:tcW w:type="dxa" w:w="4600"/>
            <w:shd w:fill="14532D" w:color="auto" w:val="clear"/>
            <w:tcMar>
              <w:top w:type="dxa" w:w="90"/>
              <w:left w:type="dxa" w:w="120"/>
              <w:bottom w:type="dxa" w:w="90"/>
              <w:right w:type="dxa" w:w="120"/>
            </w:tcMar>
          </w:tcPr>
          <w:p>
            <w:r>
              <w:rPr>
                <w:rFonts w:ascii="Calibri" w:cs="Calibri" w:eastAsia="Calibri" w:hAnsi="Calibri"/>
                <w:b/>
                <w:bCs/>
                <w:color w:val="FFFFFF"/>
                <w:sz w:val="19"/>
                <w:szCs w:val="19"/>
              </w:rPr>
              <w:t xml:space="preserve">Length of continuous service</w:t>
            </w:r>
          </w:p>
        </w:tc>
        <w:tc>
          <w:tcPr>
            <w:tcW w:type="dxa" w:w="4750"/>
            <w:shd w:fill="14532D" w:color="auto" w:val="clear"/>
            <w:tcMar>
              <w:top w:type="dxa" w:w="90"/>
              <w:left w:type="dxa" w:w="120"/>
              <w:bottom w:type="dxa" w:w="90"/>
              <w:right w:type="dxa" w:w="120"/>
            </w:tcMar>
          </w:tcPr>
          <w:p>
            <w:r>
              <w:rPr>
                <w:rFonts w:ascii="Calibri" w:cs="Calibri" w:eastAsia="Calibri" w:hAnsi="Calibri"/>
                <w:b/>
                <w:bCs/>
                <w:color w:val="FFFFFF"/>
                <w:sz w:val="19"/>
                <w:szCs w:val="19"/>
              </w:rPr>
              <w:t xml:space="preserve">Minimum notice</w:t>
            </w:r>
          </w:p>
        </w:tc>
      </w:tr>
      <w:tr>
        <w:tc>
          <w:tcPr>
            <w:tcW w:type="dxa" w:w="4600"/>
            <w:tcMar>
              <w:top w:type="dxa" w:w="90"/>
              <w:left w:type="dxa" w:w="120"/>
              <w:bottom w:type="dxa" w:w="90"/>
              <w:right w:type="dxa" w:w="120"/>
            </w:tcMar>
          </w:tcPr>
          <w:p>
            <w:r>
              <w:rPr>
                <w:rFonts w:ascii="Calibri" w:cs="Calibri" w:eastAsia="Calibri" w:hAnsi="Calibri"/>
                <w:b w:val="false"/>
                <w:bCs w:val="false"/>
                <w:color w:val="1A1A1A"/>
                <w:sz w:val="19"/>
                <w:szCs w:val="19"/>
              </w:rPr>
              <w:t xml:space="preserve">Up to 5 years</w:t>
            </w:r>
          </w:p>
        </w:tc>
        <w:tc>
          <w:tcPr>
            <w:tcW w:type="dxa" w:w="4750"/>
            <w:tcMar>
              <w:top w:type="dxa" w:w="90"/>
              <w:left w:type="dxa" w:w="120"/>
              <w:bottom w:type="dxa" w:w="90"/>
              <w:right w:type="dxa" w:w="120"/>
            </w:tcMar>
          </w:tcPr>
          <w:p>
            <w:r>
              <w:rPr>
                <w:rFonts w:ascii="Calibri" w:cs="Calibri" w:eastAsia="Calibri" w:hAnsi="Calibri"/>
                <w:b w:val="false"/>
                <w:bCs w:val="false"/>
                <w:color w:val="1A1A1A"/>
                <w:sz w:val="19"/>
                <w:szCs w:val="19"/>
              </w:rPr>
              <w:t xml:space="preserve">2 weeks</w:t>
            </w:r>
          </w:p>
        </w:tc>
      </w:tr>
      <w:tr>
        <w:tc>
          <w:tcPr>
            <w:tcW w:type="dxa" w:w="4600"/>
            <w:shd w:fill="F5F8F6" w:color="auto" w:val="clear"/>
            <w:tcMar>
              <w:top w:type="dxa" w:w="90"/>
              <w:left w:type="dxa" w:w="120"/>
              <w:bottom w:type="dxa" w:w="90"/>
              <w:right w:type="dxa" w:w="120"/>
            </w:tcMar>
          </w:tcPr>
          <w:p>
            <w:r>
              <w:rPr>
                <w:rFonts w:ascii="Calibri" w:cs="Calibri" w:eastAsia="Calibri" w:hAnsi="Calibri"/>
                <w:b w:val="false"/>
                <w:bCs w:val="false"/>
                <w:color w:val="1A1A1A"/>
                <w:sz w:val="19"/>
                <w:szCs w:val="19"/>
              </w:rPr>
              <w:t xml:space="preserve">5 – 10 years</w:t>
            </w:r>
          </w:p>
        </w:tc>
        <w:tc>
          <w:tcPr>
            <w:tcW w:type="dxa" w:w="4750"/>
            <w:shd w:fill="F5F8F6" w:color="auto" w:val="clear"/>
            <w:tcMar>
              <w:top w:type="dxa" w:w="90"/>
              <w:left w:type="dxa" w:w="120"/>
              <w:bottom w:type="dxa" w:w="90"/>
              <w:right w:type="dxa" w:w="120"/>
            </w:tcMar>
          </w:tcPr>
          <w:p>
            <w:r>
              <w:rPr>
                <w:rFonts w:ascii="Calibri" w:cs="Calibri" w:eastAsia="Calibri" w:hAnsi="Calibri"/>
                <w:b w:val="false"/>
                <w:bCs w:val="false"/>
                <w:color w:val="1A1A1A"/>
                <w:sz w:val="19"/>
                <w:szCs w:val="19"/>
              </w:rPr>
              <w:t xml:space="preserve">4 weeks</w:t>
            </w:r>
          </w:p>
        </w:tc>
      </w:tr>
      <w:tr>
        <w:tc>
          <w:tcPr>
            <w:tcW w:type="dxa" w:w="4600"/>
            <w:tcMar>
              <w:top w:type="dxa" w:w="90"/>
              <w:left w:type="dxa" w:w="120"/>
              <w:bottom w:type="dxa" w:w="90"/>
              <w:right w:type="dxa" w:w="120"/>
            </w:tcMar>
          </w:tcPr>
          <w:p>
            <w:r>
              <w:rPr>
                <w:rFonts w:ascii="Calibri" w:cs="Calibri" w:eastAsia="Calibri" w:hAnsi="Calibri"/>
                <w:b w:val="false"/>
                <w:bCs w:val="false"/>
                <w:color w:val="1A1A1A"/>
                <w:sz w:val="19"/>
                <w:szCs w:val="19"/>
              </w:rPr>
              <w:t xml:space="preserve">10 – 15 years</w:t>
            </w:r>
          </w:p>
        </w:tc>
        <w:tc>
          <w:tcPr>
            <w:tcW w:type="dxa" w:w="4750"/>
            <w:tcMar>
              <w:top w:type="dxa" w:w="90"/>
              <w:left w:type="dxa" w:w="120"/>
              <w:bottom w:type="dxa" w:w="90"/>
              <w:right w:type="dxa" w:w="120"/>
            </w:tcMar>
          </w:tcPr>
          <w:p>
            <w:r>
              <w:rPr>
                <w:rFonts w:ascii="Calibri" w:cs="Calibri" w:eastAsia="Calibri" w:hAnsi="Calibri"/>
                <w:b w:val="false"/>
                <w:bCs w:val="false"/>
                <w:color w:val="1A1A1A"/>
                <w:sz w:val="19"/>
                <w:szCs w:val="19"/>
              </w:rPr>
              <w:t xml:space="preserve">6 weeks</w:t>
            </w:r>
          </w:p>
        </w:tc>
      </w:tr>
      <w:tr>
        <w:tc>
          <w:tcPr>
            <w:tcW w:type="dxa" w:w="4600"/>
            <w:shd w:fill="F5F8F6" w:color="auto" w:val="clear"/>
            <w:tcMar>
              <w:top w:type="dxa" w:w="90"/>
              <w:left w:type="dxa" w:w="120"/>
              <w:bottom w:type="dxa" w:w="90"/>
              <w:right w:type="dxa" w:w="120"/>
            </w:tcMar>
          </w:tcPr>
          <w:p>
            <w:r>
              <w:rPr>
                <w:rFonts w:ascii="Calibri" w:cs="Calibri" w:eastAsia="Calibri" w:hAnsi="Calibri"/>
                <w:b w:val="false"/>
                <w:bCs w:val="false"/>
                <w:color w:val="1A1A1A"/>
                <w:sz w:val="19"/>
                <w:szCs w:val="19"/>
              </w:rPr>
              <w:t xml:space="preserve">15 – 20 years</w:t>
            </w:r>
          </w:p>
        </w:tc>
        <w:tc>
          <w:tcPr>
            <w:tcW w:type="dxa" w:w="4750"/>
            <w:shd w:fill="F5F8F6" w:color="auto" w:val="clear"/>
            <w:tcMar>
              <w:top w:type="dxa" w:w="90"/>
              <w:left w:type="dxa" w:w="120"/>
              <w:bottom w:type="dxa" w:w="90"/>
              <w:right w:type="dxa" w:w="120"/>
            </w:tcMar>
          </w:tcPr>
          <w:p>
            <w:r>
              <w:rPr>
                <w:rFonts w:ascii="Calibri" w:cs="Calibri" w:eastAsia="Calibri" w:hAnsi="Calibri"/>
                <w:b w:val="false"/>
                <w:bCs w:val="false"/>
                <w:color w:val="1A1A1A"/>
                <w:sz w:val="19"/>
                <w:szCs w:val="19"/>
              </w:rPr>
              <w:t xml:space="preserve">8 weeks</w:t>
            </w:r>
          </w:p>
        </w:tc>
      </w:tr>
      <w:tr>
        <w:tc>
          <w:tcPr>
            <w:tcW w:type="dxa" w:w="4600"/>
            <w:tcMar>
              <w:top w:type="dxa" w:w="90"/>
              <w:left w:type="dxa" w:w="120"/>
              <w:bottom w:type="dxa" w:w="90"/>
              <w:right w:type="dxa" w:w="120"/>
            </w:tcMar>
          </w:tcPr>
          <w:p>
            <w:r>
              <w:rPr>
                <w:rFonts w:ascii="Calibri" w:cs="Calibri" w:eastAsia="Calibri" w:hAnsi="Calibri"/>
                <w:b w:val="false"/>
                <w:bCs w:val="false"/>
                <w:color w:val="1A1A1A"/>
                <w:sz w:val="19"/>
                <w:szCs w:val="19"/>
              </w:rPr>
              <w:t xml:space="preserve">Over 20 years</w:t>
            </w:r>
          </w:p>
        </w:tc>
        <w:tc>
          <w:tcPr>
            <w:tcW w:type="dxa" w:w="4750"/>
            <w:tcMar>
              <w:top w:type="dxa" w:w="90"/>
              <w:left w:type="dxa" w:w="120"/>
              <w:bottom w:type="dxa" w:w="90"/>
              <w:right w:type="dxa" w:w="120"/>
            </w:tcMar>
          </w:tcPr>
          <w:p>
            <w:r>
              <w:rPr>
                <w:rFonts w:ascii="Calibri" w:cs="Calibri" w:eastAsia="Calibri" w:hAnsi="Calibri"/>
                <w:b w:val="false"/>
                <w:bCs w:val="false"/>
                <w:color w:val="1A1A1A"/>
                <w:sz w:val="19"/>
                <w:szCs w:val="19"/>
              </w:rPr>
              <w:t xml:space="preserve">12 weeks</w:t>
            </w:r>
          </w:p>
        </w:tc>
      </w:tr>
    </w:tbl>
    <w:p>
      <w:pPr>
        <w:spacing w:after="160"/>
      </w:pPr>
    </w:p>
    <w:p>
      <w:pPr>
        <w:spacing w:after="160" w:line="276"/>
        <w:jc w:val="both"/>
      </w:pPr>
      <w:r>
        <w:rPr>
          <w:rFonts w:ascii="Calibri" w:cs="Calibri" w:eastAsia="Calibri" w:hAnsi="Calibri"/>
          <w:b w:val="false"/>
          <w:bCs w:val="false"/>
          <w:i w:val="false"/>
          <w:iCs w:val="false"/>
          <w:color w:val="1A1A1A"/>
          <w:sz w:val="21"/>
          <w:szCs w:val="21"/>
        </w:rPr>
        <w:t xml:space="preserve">The Company may terminate employment without notice for cause, including a serious breach of this handbook (such as a confidentiality breach, a safeguarding violation, theft, fraud, or gross misconduct). Independent contractor engagements end according to the notice terms in the individual's written agreement.</w:t>
      </w:r>
    </w:p>
    <w:p>
      <w:pPr>
        <w:pStyle w:val="Heading2"/>
        <w:spacing w:after="160" w:before="360"/>
      </w:pPr>
      <w:r>
        <w:rPr>
          <w:rFonts w:ascii="Cambria" w:cs="Cambria" w:eastAsia="Cambria" w:hAnsi="Cambria"/>
          <w:b/>
          <w:bCs/>
          <w:color w:val="1A1A1A"/>
          <w:sz w:val="25"/>
          <w:szCs w:val="25"/>
        </w:rPr>
        <w:t xml:space="preserve">11. Health &amp; Safety</w:t>
      </w:r>
    </w:p>
    <w:p>
      <w:pPr>
        <w:spacing w:after="160" w:line="276"/>
        <w:jc w:val="both"/>
      </w:pPr>
      <w:r>
        <w:rPr>
          <w:rFonts w:ascii="Calibri" w:cs="Calibri" w:eastAsia="Calibri" w:hAnsi="Calibri"/>
          <w:b w:val="false"/>
          <w:bCs w:val="false"/>
          <w:i w:val="false"/>
          <w:iCs w:val="false"/>
          <w:color w:val="1A1A1A"/>
          <w:sz w:val="21"/>
          <w:szCs w:val="21"/>
        </w:rPr>
        <w:t xml:space="preserve">The Company is committed to a safe working environment, whether in our office or at a staff member's home when working remotely.</w:t>
      </w:r>
    </w:p>
    <w:p>
      <w:pPr>
        <w:pStyle w:val="ListParagraph"/>
        <w:numPr>
          <w:ilvl w:val="0"/>
          <w:numId w:val="2"/>
        </w:numPr>
        <w:spacing w:after="90" w:line="276"/>
      </w:pPr>
      <w:r>
        <w:rPr>
          <w:rFonts w:ascii="Calibri" w:cs="Calibri" w:eastAsia="Calibri" w:hAnsi="Calibri"/>
          <w:color w:val="1A1A1A"/>
          <w:sz w:val="21"/>
          <w:szCs w:val="21"/>
        </w:rPr>
        <w:t xml:space="preserve">Report any workplace hazard, accident, or injury to a supervisor immediately.</w:t>
      </w:r>
    </w:p>
    <w:p>
      <w:pPr>
        <w:pStyle w:val="ListParagraph"/>
        <w:numPr>
          <w:ilvl w:val="0"/>
          <w:numId w:val="2"/>
        </w:numPr>
        <w:spacing w:after="90" w:line="276"/>
      </w:pPr>
      <w:r>
        <w:rPr>
          <w:rFonts w:ascii="Calibri" w:cs="Calibri" w:eastAsia="Calibri" w:hAnsi="Calibri"/>
          <w:color w:val="1A1A1A"/>
          <w:sz w:val="21"/>
          <w:szCs w:val="21"/>
        </w:rPr>
        <w:t xml:space="preserve">Keep walkways and workspaces free of clutter and fire hazards.</w:t>
      </w:r>
    </w:p>
    <w:p>
      <w:pPr>
        <w:pStyle w:val="ListParagraph"/>
        <w:numPr>
          <w:ilvl w:val="0"/>
          <w:numId w:val="2"/>
        </w:numPr>
        <w:spacing w:after="90" w:line="276"/>
      </w:pPr>
      <w:r>
        <w:rPr>
          <w:rFonts w:ascii="Calibri" w:cs="Calibri" w:eastAsia="Calibri" w:hAnsi="Calibri"/>
          <w:color w:val="1A1A1A"/>
          <w:sz w:val="21"/>
          <w:szCs w:val="21"/>
        </w:rPr>
        <w:t xml:space="preserve">Staff working remotely should set up a reasonably safe and ergonomic workspace — a stable chair and desk, good lighting, and cables kept out of walkways — and are encouraged to take short breaks during long periods at a screen.</w:t>
      </w:r>
    </w:p>
    <w:p>
      <w:pPr>
        <w:pStyle w:val="ListParagraph"/>
        <w:numPr>
          <w:ilvl w:val="0"/>
          <w:numId w:val="2"/>
        </w:numPr>
        <w:spacing w:after="90" w:line="276"/>
      </w:pPr>
      <w:r>
        <w:rPr>
          <w:rFonts w:ascii="Calibri" w:cs="Calibri" w:eastAsia="Calibri" w:hAnsi="Calibri"/>
          <w:color w:val="1A1A1A"/>
          <w:sz w:val="21"/>
          <w:szCs w:val="21"/>
        </w:rPr>
        <w:t xml:space="preserve">In an emergency, prioritize personal safety first and notify the Company as soon as it is safe to do so.</w:t>
      </w:r>
    </w:p>
    <w:p>
      <w:pPr>
        <w:pStyle w:val="Heading2"/>
        <w:spacing w:after="160" w:before="360"/>
      </w:pPr>
      <w:r>
        <w:rPr>
          <w:rFonts w:ascii="Cambria" w:cs="Cambria" w:eastAsia="Cambria" w:hAnsi="Cambria"/>
          <w:b/>
          <w:bCs/>
          <w:color w:val="1A1A1A"/>
          <w:sz w:val="25"/>
          <w:szCs w:val="25"/>
        </w:rPr>
        <w:t xml:space="preserve">12. Use of Company Equipment &amp; Communication Channels</w:t>
      </w:r>
    </w:p>
    <w:p>
      <w:pPr>
        <w:spacing w:after="160" w:line="276"/>
        <w:jc w:val="both"/>
      </w:pPr>
      <w:r>
        <w:rPr>
          <w:rFonts w:ascii="Calibri" w:cs="Calibri" w:eastAsia="Calibri" w:hAnsi="Calibri"/>
          <w:b w:val="false"/>
          <w:bCs w:val="false"/>
          <w:i w:val="false"/>
          <w:iCs w:val="false"/>
          <w:color w:val="1A1A1A"/>
          <w:sz w:val="21"/>
          <w:szCs w:val="21"/>
        </w:rPr>
        <w:t xml:space="preserve">Where the Company provides equipment (a laptop, phone, or the EduJA WhatsApp Business line) or accounts (email, admin dashboard), that equipment and those accounts remain Company property and are provided solely to enable your work.</w:t>
      </w:r>
    </w:p>
    <w:p>
      <w:pPr>
        <w:pStyle w:val="ListParagraph"/>
        <w:numPr>
          <w:ilvl w:val="0"/>
          <w:numId w:val="2"/>
        </w:numPr>
        <w:spacing w:after="90" w:line="276"/>
      </w:pPr>
      <w:r>
        <w:rPr>
          <w:rFonts w:ascii="Calibri" w:cs="Calibri" w:eastAsia="Calibri" w:hAnsi="Calibri"/>
          <w:color w:val="1A1A1A"/>
          <w:sz w:val="21"/>
          <w:szCs w:val="21"/>
        </w:rPr>
        <w:t xml:space="preserve">All official Company business — with customers, students, parents, or vendors — should go through official Company channels (Company email, the EduJA WhatsApp Business number, or the platform's messaging system), not personal phone numbers or personal social media.</w:t>
      </w:r>
    </w:p>
    <w:p>
      <w:pPr>
        <w:pStyle w:val="ListParagraph"/>
        <w:numPr>
          <w:ilvl w:val="0"/>
          <w:numId w:val="2"/>
        </w:numPr>
        <w:spacing w:after="90" w:line="276"/>
      </w:pPr>
      <w:r>
        <w:rPr>
          <w:rFonts w:ascii="Calibri" w:cs="Calibri" w:eastAsia="Calibri" w:hAnsi="Calibri"/>
          <w:color w:val="1A1A1A"/>
          <w:sz w:val="21"/>
          <w:szCs w:val="21"/>
        </w:rPr>
        <w:t xml:space="preserve">The Company may monitor the use of Company-provided systems and accounts to the extent necessary for security, quality, and legal compliance, consistent with Jamaican law.</w:t>
      </w:r>
    </w:p>
    <w:p>
      <w:pPr>
        <w:pStyle w:val="ListParagraph"/>
        <w:numPr>
          <w:ilvl w:val="0"/>
          <w:numId w:val="2"/>
        </w:numPr>
        <w:spacing w:after="90" w:line="276"/>
      </w:pPr>
      <w:r>
        <w:rPr>
          <w:rFonts w:ascii="Calibri" w:cs="Calibri" w:eastAsia="Calibri" w:hAnsi="Calibri"/>
          <w:color w:val="1A1A1A"/>
          <w:sz w:val="21"/>
          <w:szCs w:val="21"/>
        </w:rPr>
        <w:t xml:space="preserve">Return all Company equipment, and any physical documents containing Confidential Information, promptly on request or at the end of your engagement.</w:t>
      </w:r>
    </w:p>
    <w:p>
      <w:r>
        <w:br w:type="page"/>
      </w:r>
    </w:p>
    <w:p>
      <w:pPr>
        <w:pStyle w:val="Heading1"/>
        <w:pBdr>
          <w:bottom w:val="single" w:color="14532D" w:sz="8" w:space="6"/>
        </w:pBdr>
        <w:spacing w:after="240" w:before="480"/>
      </w:pPr>
      <w:r>
        <w:rPr>
          <w:rFonts w:ascii="Cambria" w:cs="Cambria" w:eastAsia="Cambria" w:hAnsi="Cambria"/>
          <w:b/>
          <w:bCs/>
          <w:color w:val="14532D"/>
          <w:sz w:val="32"/>
          <w:szCs w:val="32"/>
        </w:rPr>
        <w:t xml:space="preserve">PART III — ROLE-SPECIFIC TRAINING</w:t>
      </w:r>
    </w:p>
    <w:p>
      <w:pPr>
        <w:spacing w:after="160" w:line="276"/>
        <w:jc w:val="both"/>
      </w:pPr>
      <w:r>
        <w:rPr>
          <w:rFonts w:ascii="Calibri" w:cs="Calibri" w:eastAsia="Calibri" w:hAnsi="Calibri"/>
          <w:i/>
          <w:iCs/>
          <w:color w:val="1A1A1A"/>
          <w:sz w:val="21"/>
          <w:szCs w:val="21"/>
        </w:rPr>
        <w:t xml:space="preserve">Complete the module for your role in full. If you work across more than one function (for example, an office manager who also handles some admin support), complete every module that applies to your duties.</w:t>
      </w:r>
    </w:p>
    <w:p>
      <w:pPr>
        <w:pStyle w:val="Heading2"/>
        <w:spacing w:after="160" w:before="360"/>
      </w:pPr>
      <w:r>
        <w:rPr>
          <w:rFonts w:ascii="Cambria" w:cs="Cambria" w:eastAsia="Cambria" w:hAnsi="Cambria"/>
          <w:b/>
          <w:bCs/>
          <w:color w:val="1A1A1A"/>
          <w:sz w:val="25"/>
          <w:szCs w:val="25"/>
        </w:rPr>
        <w:t xml:space="preserve">13. Sales Associate Training Module</w:t>
      </w:r>
    </w:p>
    <w:p>
      <w:pPr>
        <w:pStyle w:val="Heading3"/>
        <w:spacing w:after="120" w:before="260"/>
      </w:pPr>
      <w:r>
        <w:rPr>
          <w:rFonts w:ascii="Calibri" w:cs="Calibri" w:eastAsia="Calibri" w:hAnsi="Calibri"/>
          <w:b/>
          <w:bCs/>
          <w:i w:val="false"/>
          <w:iCs w:val="false"/>
          <w:color w:val="1D6B45"/>
          <w:sz w:val="23"/>
          <w:szCs w:val="23"/>
        </w:rPr>
        <w:t xml:space="preserve">13.1 Role overview</w:t>
      </w:r>
    </w:p>
    <w:p>
      <w:pPr>
        <w:spacing w:after="160" w:line="276"/>
        <w:jc w:val="both"/>
      </w:pPr>
      <w:r>
        <w:rPr>
          <w:rFonts w:ascii="Calibri" w:cs="Calibri" w:eastAsia="Calibri" w:hAnsi="Calibri"/>
          <w:b w:val="false"/>
          <w:bCs w:val="false"/>
          <w:i w:val="false"/>
          <w:iCs w:val="false"/>
          <w:color w:val="1A1A1A"/>
          <w:sz w:val="21"/>
          <w:szCs w:val="21"/>
        </w:rPr>
        <w:t xml:space="preserve">Sales Associates are usually the first point of contact between a prospective family and EduJA. Your job is to understand a family's needs, explain the product accurately, guide them through enrollment, and hand them off to Administration and, once enrolled, to their assigned Teacher — all while representing the Company honestly and protecting customer data from the first conversation onward.</w:t>
      </w:r>
    </w:p>
    <w:p>
      <w:pPr>
        <w:pStyle w:val="Heading3"/>
        <w:spacing w:after="120" w:before="260"/>
      </w:pPr>
      <w:r>
        <w:rPr>
          <w:rFonts w:ascii="Calibri" w:cs="Calibri" w:eastAsia="Calibri" w:hAnsi="Calibri"/>
          <w:b/>
          <w:bCs/>
          <w:i w:val="false"/>
          <w:iCs w:val="false"/>
          <w:color w:val="1D6B45"/>
          <w:sz w:val="23"/>
          <w:szCs w:val="23"/>
        </w:rPr>
        <w:t xml:space="preserve">13.2 Product knowledge</w:t>
      </w:r>
    </w:p>
    <w:p>
      <w:pPr>
        <w:spacing w:after="160" w:line="276"/>
        <w:jc w:val="both"/>
      </w:pPr>
      <w:r>
        <w:rPr>
          <w:rFonts w:ascii="Calibri" w:cs="Calibri" w:eastAsia="Calibri" w:hAnsi="Calibri"/>
          <w:b w:val="false"/>
          <w:bCs w:val="false"/>
          <w:i w:val="false"/>
          <w:iCs w:val="false"/>
          <w:color w:val="1A1A1A"/>
          <w:sz w:val="21"/>
          <w:szCs w:val="21"/>
        </w:rPr>
        <w:t xml:space="preserve">You are expected to know, and be able to explain clearly:</w:t>
      </w:r>
    </w:p>
    <w:p>
      <w:pPr>
        <w:pStyle w:val="ListParagraph"/>
        <w:numPr>
          <w:ilvl w:val="0"/>
          <w:numId w:val="2"/>
        </w:numPr>
        <w:spacing w:after="90" w:line="276"/>
      </w:pPr>
      <w:r>
        <w:rPr>
          <w:rFonts w:ascii="Calibri" w:cs="Calibri" w:eastAsia="Calibri" w:hAnsi="Calibri"/>
          <w:color w:val="1A1A1A"/>
          <w:sz w:val="21"/>
          <w:szCs w:val="21"/>
        </w:rPr>
        <w:t xml:space="preserve">EduJA covers Grades 7 through 13 across five core subjects: Language Arts, Mathematics, Integrated Science, Social Studies, and Spanish. Each subject comes in three levels — Beginner, Intermediate, and Advanced — with 100 lessons per level, so there are 1,500 lessons per grade and 10,500 in all. Every lesson has its own video and quiz (283,013 lesson quiz questions in total).</w:t>
      </w:r>
    </w:p>
    <w:p>
      <w:pPr>
        <w:pStyle w:val="ListParagraph"/>
        <w:numPr>
          <w:ilvl w:val="0"/>
          <w:numId w:val="2"/>
        </w:numPr>
        <w:spacing w:after="90" w:line="276"/>
      </w:pPr>
      <w:r>
        <w:rPr>
          <w:rFonts w:ascii="Calibri" w:cs="Calibri" w:eastAsia="Calibri" w:hAnsi="Calibri"/>
          <w:color w:val="1A1A1A"/>
          <w:sz w:val="21"/>
          <w:szCs w:val="21"/>
        </w:rPr>
        <w:t>Beyond the lessons, all grades 7–13 now have assessments and practice banks too — 525 cumulative assessments (14,496 questions) and 35 practice question banks (75,099 questions) in total, plus the Vocabulary Game and Exam Prep packs for grades where those are available.</w:t>
      </w:r>
    </w:p>
    <w:p>
      <w:pPr>
        <w:pStyle w:val="ListParagraph"/>
        <w:numPr>
          <w:ilvl w:val="0"/>
          <w:numId w:val="2"/>
        </w:numPr>
        <w:spacing w:after="90" w:line="276"/>
      </w:pPr>
      <w:r>
        <w:rPr>
          <w:rFonts w:ascii="Calibri" w:cs="Calibri" w:eastAsia="Calibri" w:hAnsi="Calibri"/>
          <w:color w:val="1A1A1A"/>
          <w:sz w:val="21"/>
          <w:szCs w:val="21"/>
        </w:rPr>
        <w:t xml:space="preserve">Curriculum alignment — say this accurately: Grades 7–9 follow the Ministry of Education's National Standards Curriculum, and Grades 10–11 build toward the CXC CSEC syllabuses. There is no single Ministry curriculum for Grades 12–13 (sixth form). Our Grade 12–13 lessons are CAPE-level enrichment in the five subject areas; they are not a unit-by-unit match for any one CAPE syllabus. Never tell a customer that Grades 12–13 "follow the MOE curriculum" or that EduJA replaces a school's CAPE syllabus.</w:t>
      </w:r>
    </w:p>
    <w:p>
      <w:pPr>
        <w:pStyle w:val="ListParagraph"/>
        <w:numPr>
          <w:ilvl w:val="0"/>
          <w:numId w:val="2"/>
        </w:numPr>
        <w:spacing w:after="90" w:line="276"/>
      </w:pPr>
      <w:r>
        <w:rPr>
          <w:rFonts w:ascii="Calibri" w:cs="Calibri" w:eastAsia="Calibri" w:hAnsi="Calibri"/>
          <w:color w:val="1A1A1A"/>
          <w:sz w:val="21"/>
          <w:szCs w:val="21"/>
        </w:rPr>
        <w:t xml:space="preserve">Every practice question includes a written explanation, so students learn from a wrong answer, not just see it marked incorrect.</w:t>
      </w:r>
    </w:p>
    <w:p>
      <w:pPr>
        <w:pStyle w:val="ListParagraph"/>
        <w:numPr>
          <w:ilvl w:val="0"/>
          <w:numId w:val="2"/>
        </w:numPr>
        <w:spacing w:after="90" w:line="276"/>
      </w:pPr>
      <w:r>
        <w:rPr>
          <w:rFonts w:ascii="Calibri" w:cs="Calibri" w:eastAsia="Calibri" w:hAnsi="Calibri"/>
          <w:color w:val="1A1A1A"/>
          <w:sz w:val="21"/>
          <w:szCs w:val="21"/>
        </w:rPr>
        <w:t xml:space="preserve">Students can message their assigned teacher directly, and on eligible plans, book voice or video sessions.</w:t>
      </w:r>
    </w:p>
    <w:p>
      <w:pPr>
        <w:pStyle w:val="ListParagraph"/>
        <w:numPr>
          <w:ilvl w:val="0"/>
          <w:numId w:val="2"/>
        </w:numPr>
        <w:spacing w:after="90" w:line="276"/>
      </w:pPr>
      <w:r>
        <w:rPr>
          <w:rFonts w:ascii="Calibri" w:cs="Calibri" w:eastAsia="Calibri" w:hAnsi="Calibri"/>
          <w:color w:val="1A1A1A"/>
          <w:sz w:val="21"/>
          <w:szCs w:val="21"/>
        </w:rPr>
        <w:t xml:space="preserve">Practice content is AI-assisted in its drafting, but every question a student sees has been reviewed and, if necessary, corrected by a qualified teacher first — this is a genuine safeguard, not marketing language, and you should be able to explain it accurately if asked.</w:t>
      </w:r>
    </w:p>
    <w:p>
      <w:pPr>
        <w:pStyle w:val="ListParagraph"/>
        <w:numPr>
          <w:ilvl w:val="0"/>
          <w:numId w:val="2"/>
        </w:numPr>
        <w:spacing w:after="90" w:line="276"/>
      </w:pPr>
      <w:r>
        <w:rPr>
          <w:rFonts w:ascii="Calibri" w:cs="Calibri" w:eastAsia="Calibri" w:hAnsi="Calibri"/>
          <w:color w:val="1A1A1A"/>
          <w:sz w:val="21"/>
          <w:szCs w:val="21"/>
        </w:rPr>
        <w:t xml:space="preserve">Parents/guardians can opt into a weekly progress summary email.</w:t>
      </w:r>
    </w:p>
    <w:p>
      <w:pPr>
        <w:pStyle w:val="Heading3"/>
        <w:spacing w:after="120" w:before="260"/>
      </w:pPr>
      <w:r>
        <w:rPr>
          <w:rFonts w:ascii="Calibri" w:cs="Calibri" w:eastAsia="Calibri" w:hAnsi="Calibri"/>
          <w:b/>
          <w:bCs/>
          <w:i w:val="false"/>
          <w:iCs w:val="false"/>
          <w:color w:val="1D6B45"/>
          <w:sz w:val="23"/>
          <w:szCs w:val="23"/>
        </w:rPr>
        <w:t xml:space="preserve">13.3 Current plans (confirm live pricing before quoting)</w:t>
      </w:r>
    </w:p>
    <w:tbl>
      <w:tblPr>
        <w:tblW w:type="dxa" w:w="9350"/>
        <w:tblBorders>
          <w:top w:val="single" w:color="9A6B00" w:sz="4"/>
          <w:left w:val="single" w:color="9A6B00" w:sz="24"/>
          <w:bottom w:val="single" w:color="9A6B00" w:sz="4"/>
          <w:right w:val="single" w:color="9A6B00" w:sz="4"/>
          <w:insideH w:val="none" w:color="FFFFFF" w:sz="0"/>
          <w:insideV w:val="none" w:color="FFFFFF" w:sz="0"/>
        </w:tblBorders>
      </w:tblPr>
      <w:tblGrid>
        <w:gridCol w:w="9350"/>
      </w:tblGrid>
      <w:tr>
        <w:tc>
          <w:tcPr>
            <w:tcW w:type="dxa" w:w="9350"/>
            <w:shd w:fill="FBF3DF" w:color="auto" w:val="clear"/>
            <w:tcMar>
              <w:top w:type="dxa" w:w="160"/>
              <w:left w:type="dxa" w:w="220"/>
              <w:bottom w:type="dxa" w:w="160"/>
              <w:right w:type="dxa" w:w="220"/>
            </w:tcMar>
          </w:tcPr>
          <w:p>
            <w:pPr>
              <w:spacing w:after="80"/>
            </w:pPr>
            <w:r>
              <w:rPr>
                <w:rFonts w:ascii="Calibri" w:cs="Calibri" w:eastAsia="Calibri" w:hAnsi="Calibri"/>
                <w:b/>
                <w:bCs/>
                <w:color w:val="9A6B00"/>
                <w:sz w:val="21"/>
                <w:szCs w:val="21"/>
              </w:rPr>
              <w:t xml:space="preserve">Always confirm current pricing on eduja.org before quoting a customer</w:t>
            </w:r>
          </w:p>
          <w:p>
            <w:pPr>
              <w:spacing w:after="80" w:line="264"/>
            </w:pPr>
            <w:r>
              <w:rPr>
                <w:rFonts w:ascii="Calibri" w:cs="Calibri" w:eastAsia="Calibri" w:hAnsi="Calibri"/>
                <w:color w:val="1A1A1A"/>
                <w:sz w:val="20"/>
                <w:szCs w:val="20"/>
              </w:rPr>
              <w:t xml:space="preserve">Prices are reviewed periodically and may change. The figures below are correct as of the effective date of this handbook and are a training reference, not a substitute for checking the live pricing page or your current Sales Compensation Schedule.</w:t>
            </w:r>
          </w:p>
        </w:tc>
      </w:tr>
    </w:tbl>
    <w:p>
      <w:pPr>
        <w:spacing w:after="12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400"/>
        <w:gridCol w:w="5250"/>
        <w:gridCol w:w="1700"/>
      </w:tblGrid>
      <w:tr>
        <w:tc>
          <w:tcPr>
            <w:tcW w:type="dxa" w:w="2400"/>
            <w:shd w:fill="14532D" w:color="auto" w:val="clear"/>
            <w:tcMar>
              <w:top w:type="dxa" w:w="90"/>
              <w:left w:type="dxa" w:w="120"/>
              <w:bottom w:type="dxa" w:w="90"/>
              <w:right w:type="dxa" w:w="120"/>
            </w:tcMar>
          </w:tcPr>
          <w:p>
            <w:r>
              <w:rPr>
                <w:rFonts w:ascii="Calibri" w:cs="Calibri" w:eastAsia="Calibri" w:hAnsi="Calibri"/>
                <w:b/>
                <w:bCs/>
                <w:color w:val="FFFFFF"/>
                <w:sz w:val="19"/>
                <w:szCs w:val="19"/>
              </w:rPr>
              <w:t xml:space="preserve">Plan</w:t>
            </w:r>
          </w:p>
        </w:tc>
        <w:tc>
          <w:tcPr>
            <w:tcW w:type="dxa" w:w="5250"/>
            <w:shd w:fill="14532D" w:color="auto" w:val="clear"/>
            <w:tcMar>
              <w:top w:type="dxa" w:w="90"/>
              <w:left w:type="dxa" w:w="120"/>
              <w:bottom w:type="dxa" w:w="90"/>
              <w:right w:type="dxa" w:w="120"/>
            </w:tcMar>
          </w:tcPr>
          <w:p>
            <w:r>
              <w:rPr>
                <w:rFonts w:ascii="Calibri" w:cs="Calibri" w:eastAsia="Calibri" w:hAnsi="Calibri"/>
                <w:b/>
                <w:bCs/>
                <w:color w:val="FFFFFF"/>
                <w:sz w:val="19"/>
                <w:szCs w:val="19"/>
              </w:rPr>
              <w:t xml:space="preserve">Covers</w:t>
            </w:r>
          </w:p>
        </w:tc>
        <w:tc>
          <w:tcPr>
            <w:tcW w:type="dxa" w:w="1700"/>
            <w:shd w:fill="14532D" w:color="auto" w:val="clear"/>
            <w:tcMar>
              <w:top w:type="dxa" w:w="90"/>
              <w:left w:type="dxa" w:w="120"/>
              <w:bottom w:type="dxa" w:w="90"/>
              <w:right w:type="dxa" w:w="120"/>
            </w:tcMar>
          </w:tcPr>
          <w:p>
            <w:r>
              <w:rPr>
                <w:rFonts w:ascii="Calibri" w:cs="Calibri" w:eastAsia="Calibri" w:hAnsi="Calibri"/>
                <w:b/>
                <w:bCs/>
                <w:color w:val="FFFFFF"/>
                <w:sz w:val="19"/>
                <w:szCs w:val="19"/>
              </w:rPr>
              <w:t xml:space="preserve">Type</w:t>
            </w:r>
          </w:p>
        </w:tc>
      </w:tr>
      <w:tr>
        <w:tc>
          <w:tcPr>
            <w:tcW w:type="dxa" w:w="2400"/>
            <w:tcMar>
              <w:top w:type="dxa" w:w="90"/>
              <w:left w:type="dxa" w:w="120"/>
              <w:bottom w:type="dxa" w:w="90"/>
              <w:right w:type="dxa" w:w="120"/>
            </w:tcMar>
          </w:tcPr>
          <w:p>
            <w:r>
              <w:rPr>
                <w:rFonts w:ascii="Calibri" w:cs="Calibri" w:eastAsia="Calibri" w:hAnsi="Calibri"/>
                <w:b w:val="false"/>
                <w:bCs w:val="false"/>
                <w:color w:val="1A1A1A"/>
                <w:sz w:val="19"/>
                <w:szCs w:val="19"/>
              </w:rPr>
              <w:t xml:space="preserve">Single Subject</w:t>
            </w:r>
          </w:p>
        </w:tc>
        <w:tc>
          <w:tcPr>
            <w:tcW w:type="dxa" w:w="5250"/>
            <w:tcMar>
              <w:top w:type="dxa" w:w="90"/>
              <w:left w:type="dxa" w:w="120"/>
              <w:bottom w:type="dxa" w:w="90"/>
              <w:right w:type="dxa" w:w="120"/>
            </w:tcMar>
          </w:tcPr>
          <w:p>
            <w:r>
              <w:rPr>
                <w:rFonts w:ascii="Calibri" w:cs="Calibri" w:eastAsia="Calibri" w:hAnsi="Calibri"/>
                <w:b w:val="false"/>
                <w:bCs w:val="false"/>
                <w:color w:val="1A1A1A"/>
                <w:sz w:val="19"/>
                <w:szCs w:val="19"/>
              </w:rPr>
              <w:t xml:space="preserve">One subject at one grade level — full lessons, videos, and quizzes</w:t>
            </w:r>
          </w:p>
        </w:tc>
        <w:tc>
          <w:tcPr>
            <w:tcW w:type="dxa" w:w="1700"/>
            <w:tcMar>
              <w:top w:type="dxa" w:w="90"/>
              <w:left w:type="dxa" w:w="120"/>
              <w:bottom w:type="dxa" w:w="90"/>
              <w:right w:type="dxa" w:w="120"/>
            </w:tcMar>
          </w:tcPr>
          <w:p>
            <w:r>
              <w:rPr>
                <w:rFonts w:ascii="Calibri" w:cs="Calibri" w:eastAsia="Calibri" w:hAnsi="Calibri"/>
                <w:b w:val="false"/>
                <w:bCs w:val="false"/>
                <w:color w:val="1A1A1A"/>
                <w:sz w:val="19"/>
                <w:szCs w:val="19"/>
              </w:rPr>
              <w:t xml:space="preserve">Monthly or annual subscription</w:t>
            </w:r>
          </w:p>
        </w:tc>
      </w:tr>
      <w:tr>
        <w:tc>
          <w:tcPr>
            <w:tcW w:type="dxa" w:w="2400"/>
            <w:shd w:fill="F5F8F6" w:color="auto" w:val="clear"/>
            <w:tcMar>
              <w:top w:type="dxa" w:w="90"/>
              <w:left w:type="dxa" w:w="120"/>
              <w:bottom w:type="dxa" w:w="90"/>
              <w:right w:type="dxa" w:w="120"/>
            </w:tcMar>
          </w:tcPr>
          <w:p>
            <w:r>
              <w:rPr>
                <w:rFonts w:ascii="Calibri" w:cs="Calibri" w:eastAsia="Calibri" w:hAnsi="Calibri"/>
                <w:b w:val="false"/>
                <w:bCs w:val="false"/>
                <w:color w:val="1A1A1A"/>
                <w:sz w:val="19"/>
                <w:szCs w:val="19"/>
              </w:rPr>
              <w:t xml:space="preserve">Full Curriculum</w:t>
            </w:r>
          </w:p>
        </w:tc>
        <w:tc>
          <w:tcPr>
            <w:tcW w:type="dxa" w:w="5250"/>
            <w:shd w:fill="F5F8F6" w:color="auto" w:val="clear"/>
            <w:tcMar>
              <w:top w:type="dxa" w:w="90"/>
              <w:left w:type="dxa" w:w="120"/>
              <w:bottom w:type="dxa" w:w="90"/>
              <w:right w:type="dxa" w:w="120"/>
            </w:tcMar>
          </w:tcPr>
          <w:p>
            <w:r>
              <w:rPr>
                <w:rFonts w:ascii="Calibri" w:cs="Calibri" w:eastAsia="Calibri" w:hAnsi="Calibri"/>
                <w:b w:val="false"/>
                <w:bCs w:val="false"/>
                <w:color w:val="1A1A1A"/>
                <w:sz w:val="19"/>
                <w:szCs w:val="19"/>
              </w:rPr>
              <w:t xml:space="preserve">All 5 subjects for one grade level (our most popular plan)</w:t>
            </w:r>
          </w:p>
        </w:tc>
        <w:tc>
          <w:tcPr>
            <w:tcW w:type="dxa" w:w="1700"/>
            <w:shd w:fill="F5F8F6" w:color="auto" w:val="clear"/>
            <w:tcMar>
              <w:top w:type="dxa" w:w="90"/>
              <w:left w:type="dxa" w:w="120"/>
              <w:bottom w:type="dxa" w:w="90"/>
              <w:right w:type="dxa" w:w="120"/>
            </w:tcMar>
          </w:tcPr>
          <w:p>
            <w:r>
              <w:rPr>
                <w:rFonts w:ascii="Calibri" w:cs="Calibri" w:eastAsia="Calibri" w:hAnsi="Calibri"/>
                <w:b w:val="false"/>
                <w:bCs w:val="false"/>
                <w:color w:val="1A1A1A"/>
                <w:sz w:val="19"/>
                <w:szCs w:val="19"/>
              </w:rPr>
              <w:t xml:space="preserve">Monthly or annual subscription</w:t>
            </w:r>
          </w:p>
        </w:tc>
      </w:tr>
      <w:tr>
        <w:tc>
          <w:tcPr>
            <w:tcW w:type="dxa" w:w="2400"/>
            <w:tcMar>
              <w:top w:type="dxa" w:w="90"/>
              <w:left w:type="dxa" w:w="120"/>
              <w:bottom w:type="dxa" w:w="90"/>
              <w:right w:type="dxa" w:w="120"/>
            </w:tcMar>
          </w:tcPr>
          <w:p>
            <w:r>
              <w:rPr>
                <w:rFonts w:ascii="Calibri" w:cs="Calibri" w:eastAsia="Calibri" w:hAnsi="Calibri"/>
                <w:b w:val="false"/>
                <w:bCs w:val="false"/>
                <w:color w:val="1A1A1A"/>
                <w:sz w:val="19"/>
                <w:szCs w:val="19"/>
              </w:rPr>
              <w:t xml:space="preserve">Family Plan</w:t>
            </w:r>
          </w:p>
        </w:tc>
        <w:tc>
          <w:tcPr>
            <w:tcW w:type="dxa" w:w="5250"/>
            <w:tcMar>
              <w:top w:type="dxa" w:w="90"/>
              <w:left w:type="dxa" w:w="120"/>
              <w:bottom w:type="dxa" w:w="90"/>
              <w:right w:type="dxa" w:w="120"/>
            </w:tcMar>
          </w:tcPr>
          <w:p>
            <w:r>
              <w:rPr>
                <w:rFonts w:ascii="Calibri" w:cs="Calibri" w:eastAsia="Calibri" w:hAnsi="Calibri"/>
                <w:b w:val="false"/>
                <w:bCs w:val="false"/>
                <w:color w:val="1A1A1A"/>
                <w:sz w:val="19"/>
                <w:szCs w:val="19"/>
              </w:rPr>
              <w:t xml:space="preserve">Full Curriculum access for 3 students, each with their own login and grade level</w:t>
            </w:r>
          </w:p>
        </w:tc>
        <w:tc>
          <w:tcPr>
            <w:tcW w:type="dxa" w:w="1700"/>
            <w:tcMar>
              <w:top w:type="dxa" w:w="90"/>
              <w:left w:type="dxa" w:w="120"/>
              <w:bottom w:type="dxa" w:w="90"/>
              <w:right w:type="dxa" w:w="120"/>
            </w:tcMar>
          </w:tcPr>
          <w:p>
            <w:r>
              <w:rPr>
                <w:rFonts w:ascii="Calibri" w:cs="Calibri" w:eastAsia="Calibri" w:hAnsi="Calibri"/>
                <w:b w:val="false"/>
                <w:bCs w:val="false"/>
                <w:color w:val="1A1A1A"/>
                <w:sz w:val="19"/>
                <w:szCs w:val="19"/>
              </w:rPr>
              <w:t xml:space="preserve">Monthly or annual subscription</w:t>
            </w:r>
          </w:p>
        </w:tc>
      </w:tr>
    </w:tbl>
    <w:p>
      <w:pPr>
        <w:spacing w:after="160"/>
      </w:pPr>
    </w:p>
    <w:p>
      <w:pPr>
        <w:spacing w:after="160" w:line="276"/>
        <w:jc w:val="both"/>
      </w:pPr>
      <w:r>
        <w:rPr>
          <w:rFonts w:ascii="Calibri" w:cs="Calibri" w:eastAsia="Calibri" w:hAnsi="Calibri"/>
          <w:b w:val="false"/>
          <w:bCs w:val="false"/>
          <w:i w:val="false"/>
          <w:iCs w:val="false"/>
          <w:color w:val="1A1A1A"/>
          <w:sz w:val="21"/>
          <w:szCs w:val="21"/>
        </w:rPr>
        <w:t xml:space="preserve">Prices from October 6, 2026 (all prices rose 25% on that date, rounded up to the nearest J$50): Single Subject J$850 per month or J$8,160 per year; Full Curriculum J$3,150 per month or J$30,240 per year; Family Plan J$7,500 per month or J$72,000 per year. Annual plans are 20% cheaper than paying monthly for 12 months. In addition to subscriptions, EduJA sells prepaid 1-on-1 Tutoring Credit bundles that let a family book live sessions with a teacher outside their subscription: 1 Hour (J$1,200), 5 Hours (J$5,900), and 10 Hours (J$11,800), with unused hours never expiring. Teacher pay rates did not change with this price increase. As with subscription pricing, confirm the live price on eduja.org before quoting; these figures are correct as of this handbook's effective date but are reviewed periodically.</w:t>
      </w:r>
    </w:p>
    <w:p>
      <w:pPr>
        <w:pStyle w:val="Heading3"/>
        <w:spacing w:after="120" w:before="260"/>
      </w:pPr>
      <w:r>
        <w:rPr>
          <w:rFonts w:ascii="Calibri" w:cs="Calibri" w:eastAsia="Calibri" w:hAnsi="Calibri"/>
          <w:b/>
          <w:bCs/>
          <w:i w:val="false"/>
          <w:iCs w:val="false"/>
          <w:color w:val="1D6B45"/>
          <w:sz w:val="23"/>
          <w:szCs w:val="23"/>
        </w:rPr>
        <w:t xml:space="preserve">13.4 Payment methods you can offer a customer</w:t>
      </w:r>
    </w:p>
    <w:p>
      <w:pPr>
        <w:pStyle w:val="ListParagraph"/>
        <w:numPr>
          <w:ilvl w:val="0"/>
          <w:numId w:val="2"/>
        </w:numPr>
        <w:spacing w:after="90" w:line="276"/>
      </w:pPr>
      <w:r>
        <w:rPr>
          <w:rFonts w:ascii="Calibri" w:cs="Calibri" w:eastAsia="Calibri" w:hAnsi="Calibri"/>
          <w:color w:val="1A1A1A"/>
          <w:sz w:val="21"/>
          <w:szCs w:val="21"/>
        </w:rPr>
        <w:t xml:space="preserve">PayPal — self-serve checkout on the website; the customer enters their own payment details directly with PayPal. You never ask a customer for their card number, PayPal password, or any payment credential over the phone, by message, or in person — see §13.6.</w:t>
      </w:r>
    </w:p>
    <w:p>
      <w:pPr>
        <w:pStyle w:val="ListParagraph"/>
        <w:numPr>
          <w:ilvl w:val="0"/>
          <w:numId w:val="2"/>
        </w:numPr>
        <w:spacing w:after="90" w:line="276"/>
      </w:pPr>
      <w:r>
        <w:rPr>
          <w:rFonts w:ascii="Calibri" w:cs="Calibri" w:eastAsia="Calibri" w:hAnsi="Calibri"/>
          <w:color w:val="1A1A1A"/>
          <w:sz w:val="21"/>
          <w:szCs w:val="21"/>
        </w:rPr>
        <w:t xml:space="preserve">Bank transfer — the customer transfers funds to the Company's bank account and the order is confirmed by Administration once received.</w:t>
      </w:r>
    </w:p>
    <w:p>
      <w:pPr>
        <w:pStyle w:val="ListParagraph"/>
        <w:numPr>
          <w:ilvl w:val="0"/>
          <w:numId w:val="2"/>
        </w:numPr>
        <w:spacing w:after="90" w:line="276"/>
      </w:pPr>
      <w:r>
        <w:rPr>
          <w:rFonts w:ascii="Calibri" w:cs="Calibri" w:eastAsia="Calibri" w:hAnsi="Calibri"/>
          <w:color w:val="1A1A1A"/>
          <w:sz w:val="21"/>
          <w:szCs w:val="21"/>
        </w:rPr>
        <w:t xml:space="preserve">Remittance — for customers sending funds from overseas.</w:t>
      </w:r>
    </w:p>
    <w:p>
      <w:pPr>
        <w:pStyle w:val="ListParagraph"/>
        <w:numPr>
          <w:ilvl w:val="0"/>
          <w:numId w:val="2"/>
        </w:numPr>
        <w:spacing w:after="90" w:line="276"/>
      </w:pPr>
      <w:r>
        <w:rPr>
          <w:rFonts w:ascii="Calibri" w:cs="Calibri" w:eastAsia="Calibri" w:hAnsi="Calibri"/>
          <w:color w:val="1A1A1A"/>
          <w:sz w:val="21"/>
          <w:szCs w:val="21"/>
        </w:rPr>
        <w:t xml:space="preserve">Cash / in-person — SUSPENDED from October 6, 2026. It has been taken off the website checkout. Do not offer it or accept cash until the Company announces that the office is staffed for walk-ins. When it resumes, the process will be: a customer pays in cash at the office, an admin confirms receipt in the system, and access is activated once confirmed.</w:t>
      </w:r>
    </w:p>
    <w:p>
      <w:pPr>
        <w:pStyle w:val="Heading3"/>
        <w:spacing w:after="120" w:before="260"/>
      </w:pPr>
      <w:r>
        <w:rPr>
          <w:rFonts w:ascii="Calibri" w:cs="Calibri" w:eastAsia="Calibri" w:hAnsi="Calibri"/>
          <w:b/>
          <w:bCs/>
          <w:i w:val="false"/>
          <w:iCs w:val="false"/>
          <w:color w:val="1D6B45"/>
          <w:sz w:val="23"/>
          <w:szCs w:val="23"/>
        </w:rPr>
        <w:t xml:space="preserve">13.5 The enrollment process</w:t>
      </w:r>
    </w:p>
    <w:p>
      <w:pPr>
        <w:pStyle w:val="ListParagraph"/>
        <w:numPr>
          <w:ilvl w:val="0"/>
          <w:numId w:val="5"/>
        </w:numPr>
        <w:spacing w:after="100" w:line="276"/>
      </w:pPr>
      <w:r>
        <w:rPr>
          <w:rFonts w:ascii="Calibri" w:cs="Calibri" w:eastAsia="Calibri" w:hAnsi="Calibri"/>
          <w:color w:val="1A1A1A"/>
          <w:sz w:val="21"/>
          <w:szCs w:val="21"/>
        </w:rPr>
        <w:t xml:space="preserve">Understand the family's needs — student's grade, subjects of interest, and whether more than one child will use the platform (a signal for the Family Plan).</w:t>
      </w:r>
    </w:p>
    <w:p>
      <w:pPr>
        <w:pStyle w:val="ListParagraph"/>
        <w:numPr>
          <w:ilvl w:val="0"/>
          <w:numId w:val="5"/>
        </w:numPr>
        <w:spacing w:after="100" w:line="276"/>
      </w:pPr>
      <w:r>
        <w:rPr>
          <w:rFonts w:ascii="Calibri" w:cs="Calibri" w:eastAsia="Calibri" w:hAnsi="Calibri"/>
          <w:color w:val="1A1A1A"/>
          <w:sz w:val="21"/>
          <w:szCs w:val="21"/>
        </w:rPr>
        <w:t xml:space="preserve">Explain the relevant plan(s) accurately, using current pricing from the live site.</w:t>
      </w:r>
    </w:p>
    <w:p>
      <w:pPr>
        <w:pStyle w:val="ListParagraph"/>
        <w:numPr>
          <w:ilvl w:val="0"/>
          <w:numId w:val="5"/>
        </w:numPr>
        <w:spacing w:after="100" w:line="276"/>
      </w:pPr>
      <w:r>
        <w:rPr>
          <w:rFonts w:ascii="Calibri" w:cs="Calibri" w:eastAsia="Calibri" w:hAnsi="Calibri"/>
          <w:color w:val="1A1A1A"/>
          <w:sz w:val="21"/>
          <w:szCs w:val="21"/>
        </w:rPr>
        <w:t xml:space="preserve">Direct the family to self-serve checkout for PayPal, or, for bank transfer or remittance, explain the process and involve Administration to confirm payment and activate the account.</w:t>
      </w:r>
    </w:p>
    <w:p>
      <w:pPr>
        <w:pStyle w:val="ListParagraph"/>
        <w:numPr>
          <w:ilvl w:val="0"/>
          <w:numId w:val="5"/>
        </w:numPr>
        <w:spacing w:after="100" w:line="276"/>
      </w:pPr>
      <w:r>
        <w:rPr>
          <w:rFonts w:ascii="Calibri" w:cs="Calibri" w:eastAsia="Calibri" w:hAnsi="Calibri"/>
          <w:color w:val="1A1A1A"/>
          <w:sz w:val="21"/>
          <w:szCs w:val="21"/>
        </w:rPr>
        <w:t xml:space="preserve">For any question you cannot answer confidently — technical issues, curriculum specifics beyond the overview above, or a request for a non-standard discount — escalate to a supervisor rather than guessing.</w:t>
      </w:r>
    </w:p>
    <w:p>
      <w:pPr>
        <w:pStyle w:val="ListParagraph"/>
        <w:numPr>
          <w:ilvl w:val="0"/>
          <w:numId w:val="5"/>
        </w:numPr>
        <w:spacing w:after="100" w:line="276"/>
      </w:pPr>
      <w:r>
        <w:rPr>
          <w:rFonts w:ascii="Calibri" w:cs="Calibri" w:eastAsia="Calibri" w:hAnsi="Calibri"/>
          <w:color w:val="1A1A1A"/>
          <w:sz w:val="21"/>
          <w:szCs w:val="21"/>
        </w:rPr>
        <w:t xml:space="preserve">Once enrolled, the student is assigned a teacher and gains portal access; your role in that transaction is complete, but you remain the relationship's first point of contact for follow-up sales questions.</w:t>
      </w:r>
    </w:p>
    <w:p>
      <w:pPr>
        <w:pStyle w:val="Heading3"/>
        <w:spacing w:after="120" w:before="260"/>
      </w:pPr>
      <w:r>
        <w:rPr>
          <w:rFonts w:ascii="Calibri" w:cs="Calibri" w:eastAsia="Calibri" w:hAnsi="Calibri"/>
          <w:b/>
          <w:bCs/>
          <w:i w:val="false"/>
          <w:iCs w:val="false"/>
          <w:color w:val="1D6B45"/>
          <w:sz w:val="23"/>
          <w:szCs w:val="23"/>
        </w:rPr>
        <w:t xml:space="preserve">13.6 Handling customer data during a sale — non-negotiable</w:t>
      </w:r>
    </w:p>
    <w:tbl>
      <w:tblPr>
        <w:tblW w:type="dxa" w:w="9350"/>
        <w:tblBorders>
          <w:top w:val="single" w:color="14532D" w:sz="4"/>
          <w:left w:val="single" w:color="14532D" w:sz="24"/>
          <w:bottom w:val="single" w:color="14532D" w:sz="4"/>
          <w:right w:val="single" w:color="14532D" w:sz="4"/>
          <w:insideH w:val="none" w:color="FFFFFF" w:sz="0"/>
          <w:insideV w:val="none" w:color="FFFFFF" w:sz="0"/>
        </w:tblBorders>
      </w:tblPr>
      <w:tblGrid>
        <w:gridCol w:w="9350"/>
      </w:tblGrid>
      <w:tr>
        <w:tc>
          <w:tcPr>
            <w:tcW w:type="dxa" w:w="9350"/>
            <w:shd w:fill="E8F1EC" w:color="auto" w:val="clear"/>
            <w:tcMar>
              <w:top w:type="dxa" w:w="160"/>
              <w:left w:type="dxa" w:w="220"/>
              <w:bottom w:type="dxa" w:w="160"/>
              <w:right w:type="dxa" w:w="220"/>
            </w:tcMar>
          </w:tcPr>
          <w:p>
            <w:pPr>
              <w:spacing w:after="80"/>
            </w:pPr>
            <w:r>
              <w:rPr>
                <w:rFonts w:ascii="Calibri" w:cs="Calibri" w:eastAsia="Calibri" w:hAnsi="Calibri"/>
                <w:b/>
                <w:bCs/>
                <w:color w:val="14532D"/>
                <w:sz w:val="21"/>
                <w:szCs w:val="21"/>
              </w:rPr>
              <w:t xml:space="preserve">Payment data rules</w:t>
            </w:r>
          </w:p>
          <w:p>
            <w:pPr>
              <w:spacing w:after="80" w:line="264"/>
            </w:pPr>
            <w:r>
              <w:rPr>
                <w:rFonts w:ascii="Calibri" w:cs="Calibri" w:eastAsia="Calibri" w:hAnsi="Calibri"/>
                <w:color w:val="1A1A1A"/>
                <w:sz w:val="20"/>
                <w:szCs w:val="20"/>
              </w:rPr>
              <w:t xml:space="preserve">Never ask a customer for their full card number, card expiry, CVV, or online banking password, by phone, message, WhatsApp, or in person. PayPal handles card data directly — EduJA and its staff never need it and must never collect it.</w:t>
            </w:r>
          </w:p>
          <w:p>
            <w:pPr>
              <w:spacing w:after="80" w:line="264"/>
            </w:pPr>
            <w:r>
              <w:rPr>
                <w:rFonts w:ascii="Calibri" w:cs="Calibri" w:eastAsia="Calibri" w:hAnsi="Calibri"/>
                <w:color w:val="1A1A1A"/>
                <w:sz w:val="20"/>
                <w:szCs w:val="20"/>
              </w:rPr>
              <w:t xml:space="preserve">Collect only the contact information needed to process the enrollment (name, email, phone, grade/subject). Do not ask for information you don't need.</w:t>
            </w:r>
          </w:p>
          <w:p>
            <w:pPr>
              <w:spacing w:after="80" w:line="264"/>
            </w:pPr>
            <w:r>
              <w:rPr>
                <w:rFonts w:ascii="Calibri" w:cs="Calibri" w:eastAsia="Calibri" w:hAnsi="Calibri"/>
                <w:color w:val="1A1A1A"/>
                <w:sz w:val="20"/>
                <w:szCs w:val="20"/>
              </w:rPr>
              <w:t xml:space="preserve">Do not write down or store customer information anywhere outside the Company's approved system (no personal notebooks, personal spreadsheets, or personal phone contacts with customer details).</w:t>
            </w:r>
          </w:p>
        </w:tc>
      </w:tr>
    </w:tbl>
    <w:p>
      <w:pPr>
        <w:spacing w:after="120"/>
      </w:pPr>
    </w:p>
    <w:p>
      <w:pPr>
        <w:pStyle w:val="Heading3"/>
        <w:spacing w:after="120" w:before="260"/>
      </w:pPr>
      <w:r>
        <w:rPr>
          <w:rFonts w:ascii="Calibri" w:cs="Calibri" w:eastAsia="Calibri" w:hAnsi="Calibri"/>
          <w:b/>
          <w:bCs/>
          <w:i w:val="false"/>
          <w:iCs w:val="false"/>
          <w:color w:val="1D6B45"/>
          <w:sz w:val="23"/>
          <w:szCs w:val="23"/>
        </w:rPr>
        <w:t xml:space="preserve">13.7 Honest representation &amp; advertising standards</w:t>
      </w:r>
    </w:p>
    <w:p>
      <w:pPr>
        <w:pStyle w:val="ListParagraph"/>
        <w:numPr>
          <w:ilvl w:val="0"/>
          <w:numId w:val="2"/>
        </w:numPr>
        <w:spacing w:after="90" w:line="276"/>
      </w:pPr>
      <w:r>
        <w:rPr>
          <w:rFonts w:ascii="Calibri" w:cs="Calibri" w:eastAsia="Calibri" w:hAnsi="Calibri"/>
          <w:color w:val="1A1A1A"/>
          <w:sz w:val="21"/>
          <w:szCs w:val="21"/>
        </w:rPr>
        <w:t xml:space="preserve">Describe the curriculum, features, and teacher support accurately — do not promise specific grade improvements, exam results, or guaranteed outcomes; EduJA supports learning, it does not guarantee results.</w:t>
      </w:r>
    </w:p>
    <w:p>
      <w:pPr>
        <w:pStyle w:val="ListParagraph"/>
        <w:numPr>
          <w:ilvl w:val="0"/>
          <w:numId w:val="2"/>
        </w:numPr>
        <w:spacing w:after="90" w:line="276"/>
      </w:pPr>
      <w:r>
        <w:rPr>
          <w:rFonts w:ascii="Calibri" w:cs="Calibri" w:eastAsia="Calibri" w:hAnsi="Calibri"/>
          <w:color w:val="1A1A1A"/>
          <w:sz w:val="21"/>
          <w:szCs w:val="21"/>
        </w:rPr>
        <w:t xml:space="preserve">Only offer the discounts and promotions in the current, approved Sales Compensation Schedule or promotional calendar. Do not improvise a discount to close a sale.</w:t>
      </w:r>
    </w:p>
    <w:p>
      <w:pPr>
        <w:pStyle w:val="ListParagraph"/>
        <w:numPr>
          <w:ilvl w:val="0"/>
          <w:numId w:val="2"/>
        </w:numPr>
        <w:spacing w:after="90" w:line="276"/>
      </w:pPr>
      <w:r>
        <w:rPr>
          <w:rFonts w:ascii="Calibri" w:cs="Calibri" w:eastAsia="Calibri" w:hAnsi="Calibri"/>
          <w:color w:val="1A1A1A"/>
          <w:sz w:val="21"/>
          <w:szCs w:val="21"/>
        </w:rPr>
        <w:t xml:space="preserve">Do not disparage competitors dishonestly; you may fairly compare what EduJA offers (Jamaican MOE-specific curriculum, direct teacher access) without making false claims about others.</w:t>
      </w:r>
    </w:p>
    <w:p>
      <w:pPr>
        <w:pStyle w:val="Heading3"/>
        <w:spacing w:after="120" w:before="260"/>
      </w:pPr>
      <w:r>
        <w:rPr>
          <w:rFonts w:ascii="Calibri" w:cs="Calibri" w:eastAsia="Calibri" w:hAnsi="Calibri"/>
          <w:b/>
          <w:bCs/>
          <w:i w:val="false"/>
          <w:iCs w:val="false"/>
          <w:color w:val="1D6B45"/>
          <w:sz w:val="23"/>
          <w:szCs w:val="23"/>
        </w:rPr>
        <w:t xml:space="preserve">13.8 Refunds, complaints &amp; escalation</w:t>
      </w:r>
    </w:p>
    <w:p>
      <w:pPr>
        <w:spacing w:after="160" w:line="276"/>
        <w:jc w:val="both"/>
      </w:pPr>
      <w:r>
        <w:rPr>
          <w:rFonts w:ascii="Calibri" w:cs="Calibri" w:eastAsia="Calibri" w:hAnsi="Calibri"/>
          <w:b w:val="false"/>
          <w:bCs w:val="false"/>
          <w:i w:val="false"/>
          <w:iCs w:val="false"/>
          <w:color w:val="1A1A1A"/>
          <w:sz w:val="21"/>
          <w:szCs w:val="21"/>
        </w:rPr>
        <w:t xml:space="preserve">If a customer requests a refund, disputes a charge, or raises a complaint, do not promise a specific outcome yourself. Record the details and route the request to Administration (§14.5), which handles refund decisions and account adjustments.</w:t>
      </w:r>
    </w:p>
    <w:p>
      <w:pPr>
        <w:pStyle w:val="Heading3"/>
        <w:spacing w:after="120" w:before="260"/>
      </w:pPr>
      <w:r>
        <w:rPr>
          <w:rFonts w:ascii="Calibri" w:cs="Calibri" w:eastAsia="Calibri" w:hAnsi="Calibri"/>
          <w:b/>
          <w:bCs/>
          <w:i w:val="false"/>
          <w:iCs w:val="false"/>
          <w:color w:val="1D6B45"/>
          <w:sz w:val="23"/>
          <w:szCs w:val="23"/>
        </w:rPr>
        <w:t xml:space="preserve">13.9 Compensation</w:t>
      </w:r>
    </w:p>
    <w:p>
      <w:pPr>
        <w:spacing w:after="160" w:line="276"/>
        <w:jc w:val="both"/>
      </w:pPr>
      <w:r>
        <w:rPr>
          <w:rFonts w:ascii="Calibri" w:cs="Calibri" w:eastAsia="Calibri" w:hAnsi="Calibri"/>
          <w:b w:val="false"/>
          <w:bCs w:val="false"/>
          <w:i w:val="false"/>
          <w:iCs w:val="false"/>
          <w:color w:val="1A1A1A"/>
          <w:sz w:val="21"/>
          <w:szCs w:val="21"/>
        </w:rPr>
        <w:t xml:space="preserve">Sales compensation (whether salary, commission, or a combination) is set out in your individual offer letter and the Company's current Sales Compensation Schedule, which is reviewed periodically by management. Where commission applies to a subscription sale, the standard schedule is 10% of the first payment on a new monthly subscription, 12.5% on a new annual subscription, and 2.5% (monthly) / 5% (annual) on a renewal. If an order you are credited for is later refunded, the associated commission is automatically reversed (clawed back) — this simply reflects that the underlying sale did not go through, it is not a penalty. Ask your supervisor if you are ever unsure how a specific sale is credited, or if your individual offer letter sets different terms.</w:t>
      </w:r>
    </w:p>
    <w:p>
      <w:pPr>
        <w:spacing w:after="160" w:line="276"/>
        <w:jc w:val="both"/>
      </w:pPr>
      <w:r>
        <w:rPr>
          <w:rFonts w:ascii="Calibri" w:cs="Calibri" w:eastAsia="Calibri" w:hAnsi="Calibri"/>
          <w:b w:val="false"/>
          <w:bCs w:val="false"/>
          <w:i w:val="false"/>
          <w:iCs w:val="false"/>
          <w:color w:val="1A1A1A"/>
          <w:sz w:val="21"/>
          <w:szCs w:val="21"/>
        </w:rPr>
        <w:t xml:space="preserve">Sales attribution is a manual step, not automatic: an administrator marks your account as a Sales Agent and assigns you as the seller on each order you close (see §14.10). If you close a sale and do not see it credited to you within a reasonable time, raise it with Administration — do not assume the system caught it automatically.</w:t>
      </w:r>
    </w:p>
    <w:p>
      <w:pPr>
        <w:pStyle w:val="Heading3"/>
        <w:spacing w:after="120" w:before="260"/>
      </w:pPr>
      <w:r>
        <w:rPr>
          <w:rFonts w:ascii="Calibri" w:cs="Calibri" w:eastAsia="Calibri" w:hAnsi="Calibri"/>
          <w:b/>
          <w:bCs/>
          <w:i w:val="false"/>
          <w:iCs w:val="false"/>
          <w:color w:val="1D6B45"/>
          <w:sz w:val="23"/>
          <w:szCs w:val="23"/>
        </w:rPr>
        <w:t xml:space="preserve">13.10 Sales module checklist</w:t>
      </w:r>
    </w:p>
    <w:p>
      <w:pPr>
        <w:pStyle w:val="ListParagraph"/>
        <w:numPr>
          <w:ilvl w:val="0"/>
          <w:numId w:val="6"/>
        </w:numPr>
        <w:spacing w:after="100" w:line="276"/>
      </w:pPr>
      <w:r>
        <w:rPr>
          <w:rFonts w:ascii="Calibri" w:cs="Calibri" w:eastAsia="Calibri" w:hAnsi="Calibri"/>
          <w:color w:val="1A1A1A"/>
          <w:sz w:val="21"/>
          <w:szCs w:val="21"/>
        </w:rPr>
        <w:t xml:space="preserve">I can accurately describe EduJA's curriculum coverage, subjects, and grade levels.</w:t>
      </w:r>
    </w:p>
    <w:p>
      <w:pPr>
        <w:pStyle w:val="ListParagraph"/>
        <w:numPr>
          <w:ilvl w:val="0"/>
          <w:numId w:val="6"/>
        </w:numPr>
        <w:spacing w:after="100" w:line="276"/>
      </w:pPr>
      <w:r>
        <w:rPr>
          <w:rFonts w:ascii="Calibri" w:cs="Calibri" w:eastAsia="Calibri" w:hAnsi="Calibri"/>
          <w:color w:val="1A1A1A"/>
          <w:sz w:val="21"/>
          <w:szCs w:val="21"/>
        </w:rPr>
        <w:t xml:space="preserve">I know the current plans and where to confirm live pricing before quoting a customer.</w:t>
      </w:r>
    </w:p>
    <w:p>
      <w:pPr>
        <w:pStyle w:val="ListParagraph"/>
        <w:numPr>
          <w:ilvl w:val="0"/>
          <w:numId w:val="6"/>
        </w:numPr>
        <w:spacing w:after="100" w:line="276"/>
      </w:pPr>
      <w:r>
        <w:rPr>
          <w:rFonts w:ascii="Calibri" w:cs="Calibri" w:eastAsia="Calibri" w:hAnsi="Calibri"/>
          <w:color w:val="1A1A1A"/>
          <w:sz w:val="21"/>
          <w:szCs w:val="21"/>
        </w:rPr>
        <w:t xml:space="preserve">I know the four payment methods available and never request card or banking credentials directly.</w:t>
      </w:r>
    </w:p>
    <w:p>
      <w:pPr>
        <w:pStyle w:val="ListParagraph"/>
        <w:numPr>
          <w:ilvl w:val="0"/>
          <w:numId w:val="6"/>
        </w:numPr>
        <w:spacing w:after="100" w:line="276"/>
      </w:pPr>
      <w:r>
        <w:rPr>
          <w:rFonts w:ascii="Calibri" w:cs="Calibri" w:eastAsia="Calibri" w:hAnsi="Calibri"/>
          <w:color w:val="1A1A1A"/>
          <w:sz w:val="21"/>
          <w:szCs w:val="21"/>
        </w:rPr>
        <w:t xml:space="preserve">I know how to hand off a payment or refund question to Administration.</w:t>
      </w:r>
    </w:p>
    <w:p>
      <w:pPr>
        <w:pStyle w:val="ListParagraph"/>
        <w:numPr>
          <w:ilvl w:val="0"/>
          <w:numId w:val="6"/>
        </w:numPr>
        <w:spacing w:after="100" w:line="276"/>
      </w:pPr>
      <w:r>
        <w:rPr>
          <w:rFonts w:ascii="Calibri" w:cs="Calibri" w:eastAsia="Calibri" w:hAnsi="Calibri"/>
          <w:color w:val="1A1A1A"/>
          <w:sz w:val="21"/>
          <w:szCs w:val="21"/>
        </w:rPr>
        <w:t xml:space="preserve">I understand the honest-representation standard and will not promise guaranteed academic outcomes.</w:t>
      </w:r>
    </w:p>
    <w:p>
      <w:pPr>
        <w:pStyle w:val="ListParagraph"/>
        <w:numPr>
          <w:ilvl w:val="0"/>
          <w:numId w:val="6"/>
        </w:numPr>
        <w:spacing w:after="100" w:line="276"/>
      </w:pPr>
      <w:r>
        <w:rPr>
          <w:rFonts w:ascii="Calibri" w:cs="Calibri" w:eastAsia="Calibri" w:hAnsi="Calibri"/>
          <w:color w:val="1A1A1A"/>
          <w:sz w:val="21"/>
          <w:szCs w:val="21"/>
        </w:rPr>
        <w:t xml:space="preserve">I understand my confidentiality and data-handling obligations under §5 and §6 apply fully to every customer conversation I have.</w:t>
      </w:r>
    </w:p>
    <w:p>
      <w:r>
        <w:br w:type="page"/>
      </w:r>
    </w:p>
    <w:p>
      <w:pPr>
        <w:pStyle w:val="Heading2"/>
        <w:spacing w:after="160" w:before="360"/>
      </w:pPr>
      <w:r>
        <w:rPr>
          <w:rFonts w:ascii="Cambria" w:cs="Cambria" w:eastAsia="Cambria" w:hAnsi="Cambria"/>
          <w:b/>
          <w:bCs/>
          <w:color w:val="1A1A1A"/>
          <w:sz w:val="25"/>
          <w:szCs w:val="25"/>
        </w:rPr>
        <w:t xml:space="preserve">14. Administrative Staff Training Module</w:t>
      </w:r>
    </w:p>
    <w:p>
      <w:pPr>
        <w:pStyle w:val="Heading3"/>
        <w:spacing w:after="120" w:before="260"/>
      </w:pPr>
      <w:r>
        <w:rPr>
          <w:rFonts w:ascii="Calibri" w:cs="Calibri" w:eastAsia="Calibri" w:hAnsi="Calibri"/>
          <w:b/>
          <w:bCs/>
          <w:i w:val="false"/>
          <w:iCs w:val="false"/>
          <w:color w:val="1D6B45"/>
          <w:sz w:val="23"/>
          <w:szCs w:val="23"/>
        </w:rPr>
        <w:t xml:space="preserve">14.1 Role overview</w:t>
      </w:r>
    </w:p>
    <w:p>
      <w:pPr>
        <w:spacing w:after="160" w:line="276"/>
        <w:jc w:val="both"/>
      </w:pPr>
      <w:r>
        <w:rPr>
          <w:rFonts w:ascii="Calibri" w:cs="Calibri" w:eastAsia="Calibri" w:hAnsi="Calibri"/>
          <w:b w:val="false"/>
          <w:bCs w:val="false"/>
          <w:i w:val="false"/>
          <w:iCs w:val="false"/>
          <w:color w:val="1A1A1A"/>
          <w:sz w:val="21"/>
          <w:szCs w:val="21"/>
        </w:rPr>
        <w:t xml:space="preserve">Administrative staff keep EduJA running day to day: confirming payments, managing customer accounts, handling support requests, and coordinating between Sales and Teachers. You have access to more sensitive data — including billing and payment history — than most other roles, so this module builds directly on the data protection obligations in §6.</w:t>
      </w:r>
    </w:p>
    <w:p>
      <w:pPr>
        <w:pStyle w:val="Heading3"/>
        <w:spacing w:after="120" w:before="260"/>
      </w:pPr>
      <w:r>
        <w:rPr>
          <w:rFonts w:ascii="Calibri" w:cs="Calibri" w:eastAsia="Calibri" w:hAnsi="Calibri"/>
          <w:b/>
          <w:bCs/>
          <w:i w:val="false"/>
          <w:iCs w:val="false"/>
          <w:color w:val="1D6B45"/>
          <w:sz w:val="23"/>
          <w:szCs w:val="23"/>
        </w:rPr>
        <w:t xml:space="preserve">14.2 The Admin Dashboard</w:t>
      </w:r>
    </w:p>
    <w:p>
      <w:pPr>
        <w:pStyle w:val="ListParagraph"/>
        <w:numPr>
          <w:ilvl w:val="0"/>
          <w:numId w:val="2"/>
        </w:numPr>
        <w:spacing w:after="90" w:line="276"/>
      </w:pPr>
      <w:r>
        <w:rPr>
          <w:rFonts w:ascii="Calibri" w:cs="Calibri" w:eastAsia="Calibri" w:hAnsi="Calibri"/>
          <w:color w:val="1A1A1A"/>
          <w:sz w:val="21"/>
          <w:szCs w:val="21"/>
        </w:rPr>
        <w:t xml:space="preserve">Pending Payments: bank transfer and remittance payments land here for confirmation (cash/in-person payments will too, once that option resumes — see §13.4). Verify proof of payment (bank confirmation, remittance reference, or a cash receipt logged by the office) before approving — approving a payment activates a customer's account, so this step is a real control, not a formality.</w:t>
      </w:r>
    </w:p>
    <w:p>
      <w:pPr>
        <w:pStyle w:val="ListParagraph"/>
        <w:numPr>
          <w:ilvl w:val="0"/>
          <w:numId w:val="2"/>
        </w:numPr>
        <w:spacing w:after="90" w:line="276"/>
      </w:pPr>
      <w:r>
        <w:rPr>
          <w:rFonts w:ascii="Calibri" w:cs="Calibri" w:eastAsia="Calibri" w:hAnsi="Calibri"/>
          <w:color w:val="1A1A1A"/>
          <w:sz w:val="21"/>
          <w:szCs w:val="21"/>
        </w:rPr>
        <w:t xml:space="preserve">New signup and order notifications: every new account and every order/subscription event generates a notification so the team stays aware of activity without needing to check manually.</w:t>
      </w:r>
    </w:p>
    <w:p>
      <w:pPr>
        <w:pStyle w:val="ListParagraph"/>
        <w:numPr>
          <w:ilvl w:val="0"/>
          <w:numId w:val="2"/>
        </w:numPr>
        <w:spacing w:after="90" w:line="276"/>
      </w:pPr>
      <w:r>
        <w:rPr>
          <w:rFonts w:ascii="Calibri" w:cs="Calibri" w:eastAsia="Calibri" w:hAnsi="Calibri"/>
          <w:color w:val="1A1A1A"/>
          <w:sz w:val="21"/>
          <w:szCs w:val="21"/>
        </w:rPr>
        <w:t xml:space="preserve">Account management: updating customer contact details, plan changes, and resolving access issues.</w:t>
      </w:r>
    </w:p>
    <w:p>
      <w:pPr>
        <w:pStyle w:val="ListParagraph"/>
        <w:numPr>
          <w:ilvl w:val="0"/>
          <w:numId w:val="2"/>
        </w:numPr>
        <w:spacing w:after="90" w:line="276"/>
      </w:pPr>
      <w:r>
        <w:rPr>
          <w:rFonts w:ascii="Calibri" w:cs="Calibri" w:eastAsia="Calibri" w:hAnsi="Calibri"/>
          <w:color w:val="1A1A1A"/>
          <w:sz w:val="21"/>
          <w:szCs w:val="21"/>
        </w:rPr>
        <w:t xml:space="preserve">Order status: tracking orders through their lifecycle, including marking a refund when one is approved.</w:t>
      </w:r>
    </w:p>
    <w:p>
      <w:pPr>
        <w:pStyle w:val="Heading3"/>
        <w:spacing w:after="120" w:before="260"/>
      </w:pPr>
      <w:r>
        <w:rPr>
          <w:rFonts w:ascii="Calibri" w:cs="Calibri" w:eastAsia="Calibri" w:hAnsi="Calibri"/>
          <w:b/>
          <w:bCs/>
          <w:i w:val="false"/>
          <w:iCs w:val="false"/>
          <w:color w:val="1D6B45"/>
          <w:sz w:val="23"/>
          <w:szCs w:val="23"/>
        </w:rPr>
        <w:t xml:space="preserve">14.3 Verifying a payment before activating access</w:t>
      </w:r>
    </w:p>
    <w:p>
      <w:pPr>
        <w:pStyle w:val="ListParagraph"/>
        <w:numPr>
          <w:ilvl w:val="0"/>
          <w:numId w:val="7"/>
        </w:numPr>
        <w:spacing w:after="100" w:line="276"/>
      </w:pPr>
      <w:r>
        <w:rPr>
          <w:rFonts w:ascii="Calibri" w:cs="Calibri" w:eastAsia="Calibri" w:hAnsi="Calibri"/>
          <w:color w:val="1A1A1A"/>
          <w:sz w:val="21"/>
          <w:szCs w:val="21"/>
        </w:rPr>
        <w:t xml:space="preserve">Match the amount and reference on the proof of payment to the order in the dashboard.</w:t>
      </w:r>
    </w:p>
    <w:p>
      <w:pPr>
        <w:pStyle w:val="ListParagraph"/>
        <w:numPr>
          <w:ilvl w:val="0"/>
          <w:numId w:val="7"/>
        </w:numPr>
        <w:spacing w:after="100" w:line="276"/>
      </w:pPr>
      <w:r>
        <w:rPr>
          <w:rFonts w:ascii="Calibri" w:cs="Calibri" w:eastAsia="Calibri" w:hAnsi="Calibri"/>
          <w:color w:val="1A1A1A"/>
          <w:sz w:val="21"/>
          <w:szCs w:val="21"/>
        </w:rPr>
        <w:t xml:space="preserve">For bank transfer or remittance, confirm the funds have actually cleared/been received — do not activate access on the basis of a promise to pay or a screenshot alone if your process requires bank confirmation.</w:t>
      </w:r>
    </w:p>
    <w:p>
      <w:pPr>
        <w:pStyle w:val="ListParagraph"/>
        <w:numPr>
          <w:ilvl w:val="0"/>
          <w:numId w:val="7"/>
        </w:numPr>
        <w:spacing w:after="100" w:line="276"/>
      </w:pPr>
      <w:r>
        <w:rPr>
          <w:rFonts w:ascii="Calibri" w:cs="Calibri" w:eastAsia="Calibri" w:hAnsi="Calibri"/>
          <w:color w:val="1A1A1A"/>
          <w:sz w:val="21"/>
          <w:szCs w:val="21"/>
        </w:rPr>
        <w:t xml:space="preserve">For cash (only once cash/in-person payment resumes — see §13.4), confirm the cash was physically received and logged (per your office's cash-handling process) before marking the payment confirmed in the system.</w:t>
      </w:r>
    </w:p>
    <w:p>
      <w:pPr>
        <w:pStyle w:val="ListParagraph"/>
        <w:numPr>
          <w:ilvl w:val="0"/>
          <w:numId w:val="7"/>
        </w:numPr>
        <w:spacing w:after="100" w:line="276"/>
      </w:pPr>
      <w:r>
        <w:rPr>
          <w:rFonts w:ascii="Calibri" w:cs="Calibri" w:eastAsia="Calibri" w:hAnsi="Calibri"/>
          <w:color w:val="1A1A1A"/>
          <w:sz w:val="21"/>
          <w:szCs w:val="21"/>
        </w:rPr>
        <w:t xml:space="preserve">If anything about a payment looks irregular — a mismatched name, a suspicious reference, or a customer pressuring you to skip verification — pause and escalate to a supervisor rather than approving it.</w:t>
      </w:r>
    </w:p>
    <w:p>
      <w:pPr>
        <w:pStyle w:val="Heading3"/>
        <w:spacing w:after="120" w:before="260"/>
      </w:pPr>
      <w:r>
        <w:rPr>
          <w:rFonts w:ascii="Calibri" w:cs="Calibri" w:eastAsia="Calibri" w:hAnsi="Calibri"/>
          <w:b/>
          <w:bCs/>
          <w:i w:val="false"/>
          <w:iCs w:val="false"/>
          <w:color w:val="1D6B45"/>
          <w:sz w:val="23"/>
          <w:szCs w:val="23"/>
        </w:rPr>
        <w:t xml:space="preserve">14.4 Customer service standards</w:t>
      </w:r>
    </w:p>
    <w:p>
      <w:pPr>
        <w:pStyle w:val="ListParagraph"/>
        <w:numPr>
          <w:ilvl w:val="0"/>
          <w:numId w:val="2"/>
        </w:numPr>
        <w:spacing w:after="90" w:line="276"/>
      </w:pPr>
      <w:r>
        <w:rPr>
          <w:rFonts w:ascii="Calibri" w:cs="Calibri" w:eastAsia="Calibri" w:hAnsi="Calibri"/>
          <w:color w:val="1A1A1A"/>
          <w:sz w:val="21"/>
          <w:szCs w:val="21"/>
        </w:rPr>
        <w:t xml:space="preserve">Respond to customer inquiries promptly and professionally, in the tone set out in §4.</w:t>
      </w:r>
    </w:p>
    <w:p>
      <w:pPr>
        <w:pStyle w:val="ListParagraph"/>
        <w:numPr>
          <w:ilvl w:val="0"/>
          <w:numId w:val="2"/>
        </w:numPr>
        <w:spacing w:after="90" w:line="276"/>
      </w:pPr>
      <w:r>
        <w:rPr>
          <w:rFonts w:ascii="Calibri" w:cs="Calibri" w:eastAsia="Calibri" w:hAnsi="Calibri"/>
          <w:color w:val="1A1A1A"/>
          <w:sz w:val="21"/>
          <w:szCs w:val="21"/>
        </w:rPr>
        <w:t xml:space="preserve">If you don't know the answer, say so and find out — do not guess, especially on curriculum, technical, or billing questions.</w:t>
      </w:r>
    </w:p>
    <w:p>
      <w:pPr>
        <w:pStyle w:val="ListParagraph"/>
        <w:numPr>
          <w:ilvl w:val="0"/>
          <w:numId w:val="2"/>
        </w:numPr>
        <w:spacing w:after="90" w:line="276"/>
      </w:pPr>
      <w:r>
        <w:rPr>
          <w:rFonts w:ascii="Calibri" w:cs="Calibri" w:eastAsia="Calibri" w:hAnsi="Calibri"/>
          <w:color w:val="1A1A1A"/>
          <w:sz w:val="21"/>
          <w:szCs w:val="21"/>
        </w:rPr>
        <w:t xml:space="preserve">Keep a written record of support interactions in the system used for that purpose, so the next person who picks up the conversation has context.</w:t>
      </w:r>
    </w:p>
    <w:p>
      <w:pPr>
        <w:pStyle w:val="Heading3"/>
        <w:spacing w:after="120" w:before="260"/>
      </w:pPr>
      <w:r>
        <w:rPr>
          <w:rFonts w:ascii="Calibri" w:cs="Calibri" w:eastAsia="Calibri" w:hAnsi="Calibri"/>
          <w:b/>
          <w:bCs/>
          <w:i w:val="false"/>
          <w:iCs w:val="false"/>
          <w:color w:val="1D6B45"/>
          <w:sz w:val="23"/>
          <w:szCs w:val="23"/>
        </w:rPr>
        <w:t xml:space="preserve">14.5 Refunds &amp; complaints</w:t>
      </w:r>
    </w:p>
    <w:p>
      <w:pPr>
        <w:spacing w:after="160" w:line="276"/>
        <w:jc w:val="both"/>
      </w:pPr>
      <w:r>
        <w:rPr>
          <w:rFonts w:ascii="Calibri" w:cs="Calibri" w:eastAsia="Calibri" w:hAnsi="Calibri"/>
          <w:b w:val="false"/>
          <w:bCs w:val="false"/>
          <w:i w:val="false"/>
          <w:iCs w:val="false"/>
          <w:color w:val="1A1A1A"/>
          <w:sz w:val="21"/>
          <w:szCs w:val="21"/>
        </w:rPr>
        <w:t xml:space="preserve">Refund requests should be evaluated against the Company's current refund policy (available from your supervisor) and, where a request falls outside straightforward cases, escalated for approval before being processed. Document the reason for every refund. A pattern of complaints about a specific issue (a bug, a billing error, a teacher concern) should be flagged to a supervisor even if each individual case is resolved, so the underlying problem can be fixed.</w:t>
      </w:r>
    </w:p>
    <w:p>
      <w:pPr>
        <w:pStyle w:val="Heading3"/>
        <w:spacing w:after="120" w:before="260"/>
      </w:pPr>
      <w:r>
        <w:rPr>
          <w:rFonts w:ascii="Calibri" w:cs="Calibri" w:eastAsia="Calibri" w:hAnsi="Calibri"/>
          <w:b/>
          <w:bCs/>
          <w:i w:val="false"/>
          <w:iCs w:val="false"/>
          <w:color w:val="1D6B45"/>
          <w:sz w:val="23"/>
          <w:szCs w:val="23"/>
        </w:rPr>
        <w:t xml:space="preserve">14.6 Data handling responsibilities specific to Admin</w:t>
      </w:r>
    </w:p>
    <w:tbl>
      <w:tblPr>
        <w:tblW w:type="dxa" w:w="9350"/>
        <w:tblBorders>
          <w:top w:val="single" w:color="14532D" w:sz="4"/>
          <w:left w:val="single" w:color="14532D" w:sz="24"/>
          <w:bottom w:val="single" w:color="14532D" w:sz="4"/>
          <w:right w:val="single" w:color="14532D" w:sz="4"/>
          <w:insideH w:val="none" w:color="FFFFFF" w:sz="0"/>
          <w:insideV w:val="none" w:color="FFFFFF" w:sz="0"/>
        </w:tblBorders>
      </w:tblPr>
      <w:tblGrid>
        <w:gridCol w:w="9350"/>
      </w:tblGrid>
      <w:tr>
        <w:tc>
          <w:tcPr>
            <w:tcW w:type="dxa" w:w="9350"/>
            <w:shd w:fill="E8F1EC" w:color="auto" w:val="clear"/>
            <w:tcMar>
              <w:top w:type="dxa" w:w="160"/>
              <w:left w:type="dxa" w:w="220"/>
              <w:bottom w:type="dxa" w:w="160"/>
              <w:right w:type="dxa" w:w="220"/>
            </w:tcMar>
          </w:tcPr>
          <w:p>
            <w:pPr>
              <w:spacing w:after="80"/>
            </w:pPr>
            <w:r>
              <w:rPr>
                <w:rFonts w:ascii="Calibri" w:cs="Calibri" w:eastAsia="Calibri" w:hAnsi="Calibri"/>
                <w:b/>
                <w:bCs/>
                <w:color w:val="14532D"/>
                <w:sz w:val="21"/>
                <w:szCs w:val="21"/>
              </w:rPr>
              <w:t xml:space="preserve">Because you handle billing data, extra care applies</w:t>
            </w:r>
          </w:p>
          <w:p>
            <w:pPr>
              <w:spacing w:after="80" w:line="264"/>
            </w:pPr>
            <w:r>
              <w:rPr>
                <w:rFonts w:ascii="Calibri" w:cs="Calibri" w:eastAsia="Calibri" w:hAnsi="Calibri"/>
                <w:color w:val="1A1A1A"/>
                <w:sz w:val="20"/>
                <w:szCs w:val="20"/>
              </w:rPr>
              <w:t xml:space="preserve">Access customer records only for a specific, legitimate business reason (processing their request, resolving their issue) — not to browse.</w:t>
            </w:r>
          </w:p>
          <w:p>
            <w:pPr>
              <w:spacing w:after="80" w:line="264"/>
            </w:pPr>
            <w:r>
              <w:rPr>
                <w:rFonts w:ascii="Calibri" w:cs="Calibri" w:eastAsia="Calibri" w:hAnsi="Calibri"/>
                <w:color w:val="1A1A1A"/>
                <w:sz w:val="20"/>
                <w:szCs w:val="20"/>
              </w:rPr>
              <w:t xml:space="preserve">Never share one customer's information with another customer, or with anyone outside the Company.</w:t>
            </w:r>
          </w:p>
          <w:p>
            <w:pPr>
              <w:spacing w:after="80" w:line="264"/>
            </w:pPr>
            <w:r>
              <w:rPr>
                <w:rFonts w:ascii="Calibri" w:cs="Calibri" w:eastAsia="Calibri" w:hAnsi="Calibri"/>
                <w:color w:val="1A1A1A"/>
                <w:sz w:val="20"/>
                <w:szCs w:val="20"/>
              </w:rPr>
              <w:t xml:space="preserve">Log out of shared office terminals when you step away, and never leave a customer's account or payment screen open and visible to others.</w:t>
            </w:r>
          </w:p>
          <w:p>
            <w:pPr>
              <w:spacing w:after="80" w:line="264"/>
            </w:pPr>
            <w:r>
              <w:rPr>
                <w:rFonts w:ascii="Calibri" w:cs="Calibri" w:eastAsia="Calibri" w:hAnsi="Calibri"/>
                <w:color w:val="1A1A1A"/>
                <w:sz w:val="20"/>
                <w:szCs w:val="20"/>
              </w:rPr>
              <w:t xml:space="preserve">If you are ever asked — by anyone, including someone claiming to be a customer, a colleague, or an outside party — to bypass normal verification and release account or payment information, decline and escalate. Verify identity through your normal process every time, without exception.</w:t>
            </w:r>
          </w:p>
        </w:tc>
      </w:tr>
    </w:tbl>
    <w:p>
      <w:pPr>
        <w:spacing w:after="120"/>
      </w:pPr>
    </w:p>
    <w:p>
      <w:pPr>
        <w:pStyle w:val="Heading3"/>
        <w:spacing w:after="120" w:before="260"/>
      </w:pPr>
      <w:r>
        <w:rPr>
          <w:rFonts w:ascii="Calibri" w:cs="Calibri" w:eastAsia="Calibri" w:hAnsi="Calibri"/>
          <w:b/>
          <w:bCs/>
          <w:i w:val="false"/>
          <w:iCs w:val="false"/>
          <w:color w:val="1D6B45"/>
          <w:sz w:val="23"/>
          <w:szCs w:val="23"/>
        </w:rPr>
        <w:t xml:space="preserve">14.7 Records management</w:t>
      </w:r>
    </w:p>
    <w:p>
      <w:pPr>
        <w:spacing w:after="160" w:line="276"/>
        <w:jc w:val="both"/>
      </w:pPr>
      <w:r>
        <w:rPr>
          <w:rFonts w:ascii="Calibri" w:cs="Calibri" w:eastAsia="Calibri" w:hAnsi="Calibri"/>
          <w:b w:val="false"/>
          <w:bCs w:val="false"/>
          <w:i w:val="false"/>
          <w:iCs w:val="false"/>
          <w:color w:val="1A1A1A"/>
          <w:sz w:val="21"/>
          <w:szCs w:val="21"/>
        </w:rPr>
        <w:t xml:space="preserve">Keep records (payment confirmations, support tickets, correspondence) organized in the Company's approved systems, not in personal files. Records are retained only as long as needed for the business or legal purpose they serve, consistent with §6.1's limited-retention principle — ask your supervisor if you are unsure how long a specific record type should be kept.</w:t>
      </w:r>
    </w:p>
    <w:p>
      <w:pPr>
        <w:pStyle w:val="Heading3"/>
        <w:spacing w:after="120" w:before="260"/>
      </w:pPr>
      <w:r>
        <w:rPr>
          <w:rFonts w:ascii="Calibri" w:cs="Calibri" w:eastAsia="Calibri" w:hAnsi="Calibri"/>
          <w:b/>
          <w:bCs/>
          <w:i w:val="false"/>
          <w:iCs w:val="false"/>
          <w:color w:val="1D6B45"/>
          <w:sz w:val="23"/>
          <w:szCs w:val="23"/>
        </w:rPr>
        <w:t xml:space="preserve">14.8 Coordinating with Sales and Teachers</w:t>
      </w:r>
    </w:p>
    <w:p>
      <w:pPr>
        <w:spacing w:after="160" w:line="276"/>
        <w:jc w:val="both"/>
      </w:pPr>
      <w:r>
        <w:rPr>
          <w:rFonts w:ascii="Calibri" w:cs="Calibri" w:eastAsia="Calibri" w:hAnsi="Calibri"/>
          <w:b w:val="false"/>
          <w:bCs w:val="false"/>
          <w:i w:val="false"/>
          <w:iCs w:val="false"/>
          <w:color w:val="1A1A1A"/>
          <w:sz w:val="21"/>
          <w:szCs w:val="21"/>
        </w:rPr>
        <w:t xml:space="preserve">Once a payment is confirmed, make sure the customer's plan and any assigned teacher are set up correctly and promptly, so there is no gap between a family paying and a student getting access. Flag to Sales any pattern you notice from the admin side (e.g., repeated confusion about a specific plan) that could improve the sales conversation.</w:t>
      </w:r>
    </w:p>
    <w:p>
      <w:pPr>
        <w:pStyle w:val="Heading3"/>
        <w:spacing w:after="120" w:before="260"/>
      </w:pPr>
      <w:r>
        <w:rPr>
          <w:rFonts w:ascii="Calibri" w:cs="Calibri" w:eastAsia="Calibri" w:hAnsi="Calibri"/>
          <w:b/>
          <w:bCs/>
          <w:i w:val="false"/>
          <w:iCs w:val="false"/>
          <w:color w:val="1D6B45"/>
          <w:sz w:val="23"/>
          <w:szCs w:val="23"/>
        </w:rPr>
        <w:t xml:space="preserve">14.9 Admin module checklist</w:t>
      </w:r>
    </w:p>
    <w:p>
      <w:pPr>
        <w:pStyle w:val="ListParagraph"/>
        <w:numPr>
          <w:ilvl w:val="0"/>
          <w:numId w:val="6"/>
        </w:numPr>
        <w:spacing w:after="100" w:line="276"/>
      </w:pPr>
      <w:r>
        <w:rPr>
          <w:rFonts w:ascii="Calibri" w:cs="Calibri" w:eastAsia="Calibri" w:hAnsi="Calibri"/>
          <w:color w:val="1A1A1A"/>
          <w:sz w:val="21"/>
          <w:szCs w:val="21"/>
        </w:rPr>
        <w:t xml:space="preserve">I know how to verify a bank transfer or remittance payment before activating access.</w:t>
      </w:r>
    </w:p>
    <w:p>
      <w:pPr>
        <w:pStyle w:val="ListParagraph"/>
        <w:numPr>
          <w:ilvl w:val="0"/>
          <w:numId w:val="6"/>
        </w:numPr>
        <w:spacing w:after="100" w:line="276"/>
      </w:pPr>
      <w:r>
        <w:rPr>
          <w:rFonts w:ascii="Calibri" w:cs="Calibri" w:eastAsia="Calibri" w:hAnsi="Calibri"/>
          <w:color w:val="1A1A1A"/>
          <w:sz w:val="21"/>
          <w:szCs w:val="21"/>
        </w:rPr>
        <w:t xml:space="preserve">I know the current refund policy and when to escalate a refund decision.</w:t>
      </w:r>
    </w:p>
    <w:p>
      <w:pPr>
        <w:pStyle w:val="ListParagraph"/>
        <w:numPr>
          <w:ilvl w:val="0"/>
          <w:numId w:val="6"/>
        </w:numPr>
        <w:spacing w:after="100" w:line="276"/>
      </w:pPr>
      <w:r>
        <w:rPr>
          <w:rFonts w:ascii="Calibri" w:cs="Calibri" w:eastAsia="Calibri" w:hAnsi="Calibri"/>
          <w:color w:val="1A1A1A"/>
          <w:sz w:val="21"/>
          <w:szCs w:val="21"/>
        </w:rPr>
        <w:t xml:space="preserve">I only access customer records for a specific, legitimate business reason.</w:t>
      </w:r>
    </w:p>
    <w:p>
      <w:pPr>
        <w:pStyle w:val="ListParagraph"/>
        <w:numPr>
          <w:ilvl w:val="0"/>
          <w:numId w:val="6"/>
        </w:numPr>
        <w:spacing w:after="100" w:line="276"/>
      </w:pPr>
      <w:r>
        <w:rPr>
          <w:rFonts w:ascii="Calibri" w:cs="Calibri" w:eastAsia="Calibri" w:hAnsi="Calibri"/>
          <w:color w:val="1A1A1A"/>
          <w:sz w:val="21"/>
          <w:szCs w:val="21"/>
        </w:rPr>
        <w:t xml:space="preserve">I lock or log out of shared terminals when stepping away.</w:t>
      </w:r>
    </w:p>
    <w:p>
      <w:pPr>
        <w:pStyle w:val="ListParagraph"/>
        <w:numPr>
          <w:ilvl w:val="0"/>
          <w:numId w:val="6"/>
        </w:numPr>
        <w:spacing w:after="100" w:line="276"/>
      </w:pPr>
      <w:r>
        <w:rPr>
          <w:rFonts w:ascii="Calibri" w:cs="Calibri" w:eastAsia="Calibri" w:hAnsi="Calibri"/>
          <w:color w:val="1A1A1A"/>
          <w:sz w:val="21"/>
          <w:szCs w:val="21"/>
        </w:rPr>
        <w:t xml:space="preserve">I know how to escalate a suspicious payment or an unusual request for account information.</w:t>
      </w:r>
    </w:p>
    <w:p>
      <w:pPr>
        <w:pStyle w:val="Heading3"/>
        <w:spacing w:after="120" w:before="260"/>
      </w:pPr>
      <w:r>
        <w:rPr>
          <w:rFonts w:ascii="Calibri" w:cs="Calibri" w:eastAsia="Calibri" w:hAnsi="Calibri"/>
          <w:b/>
          <w:bCs/>
          <w:i w:val="false"/>
          <w:iCs w:val="false"/>
          <w:color w:val="1D6B45"/>
          <w:sz w:val="23"/>
          <w:szCs w:val="23"/>
        </w:rPr>
        <w:t xml:space="preserve">14.10 Sales Agent Marking &amp; Order Attribution (Admin)</w:t>
      </w:r>
    </w:p>
    <w:p>
      <w:pPr>
        <w:spacing w:after="160" w:line="276"/>
        <w:jc w:val="both"/>
      </w:pPr>
      <w:r>
        <w:rPr>
          <w:rFonts w:ascii="Calibri" w:cs="Calibri" w:eastAsia="Calibri" w:hAnsi="Calibri"/>
          <w:b w:val="false"/>
          <w:bCs w:val="false"/>
          <w:i w:val="false"/>
          <w:iCs w:val="false"/>
          <w:color w:val="1A1A1A"/>
          <w:sz w:val="21"/>
          <w:szCs w:val="21"/>
        </w:rPr>
        <w:t xml:space="preserve">Commission credit for a sale is a manual admin action, not automatic — it is not tied to a referral code or generated at checkout. Two admin steps make attribution work correctly:</w:t>
      </w:r>
    </w:p>
    <w:p>
      <w:pPr>
        <w:spacing w:after="160" w:line="276"/>
        <w:jc w:val="both"/>
      </w:pPr>
      <w:r>
        <w:rPr>
          <w:rFonts w:ascii="Calibri" w:cs="Calibri" w:eastAsia="Calibri" w:hAnsi="Calibri"/>
          <w:b w:val="false"/>
          <w:bCs w:val="false"/>
          <w:i w:val="false"/>
          <w:iCs w:val="false"/>
          <w:color w:val="1A1A1A"/>
          <w:sz w:val="21"/>
          <w:szCs w:val="21"/>
        </w:rPr>
        <w:t xml:space="preserve">1) Mark the seller as a Sales Agent once, on the Users tab, using the “Mark as Sales Agent” toggle on their profile. This only needs to be done the first time for a given staff member.</w:t>
      </w:r>
    </w:p>
    <w:p>
      <w:pPr>
        <w:spacing w:after="160" w:line="276"/>
        <w:jc w:val="both"/>
      </w:pPr>
      <w:r>
        <w:rPr>
          <w:rFonts w:ascii="Calibri" w:cs="Calibri" w:eastAsia="Calibri" w:hAnsi="Calibri"/>
          <w:b w:val="false"/>
          <w:bCs w:val="false"/>
          <w:i w:val="false"/>
          <w:iCs w:val="false"/>
          <w:color w:val="1A1A1A"/>
          <w:sz w:val="21"/>
          <w:szCs w:val="21"/>
        </w:rPr>
        <w:t xml:space="preserve">2) On the Paid Orders &amp; Refunds tab, use the seller dropdown to assign the order to the agent who closed that sale (only accounts already marked Sales Agent appear in the list). Doing this on an order that is already paid triggers the commission the same way as when the order first becomes paid — this is the normal path for reviewing already-paid orders and crediting the agent afterward.</w:t>
      </w:r>
    </w:p>
    <w:p>
      <w:pPr>
        <w:spacing w:after="160" w:line="276"/>
        <w:jc w:val="both"/>
      </w:pPr>
      <w:r>
        <w:rPr>
          <w:rFonts w:ascii="Calibri" w:cs="Calibri" w:eastAsia="Calibri" w:hAnsi="Calibri"/>
          <w:b w:val="false"/>
          <w:bCs w:val="false"/>
          <w:i w:val="false"/>
          <w:iCs w:val="false"/>
          <w:color w:val="1A1A1A"/>
          <w:sz w:val="21"/>
          <w:szCs w:val="21"/>
        </w:rPr>
        <w:t xml:space="preserve">Assigning a seller only fires a commission the first time — changing an order to a different agent afterward does not re-fire or move the commission automatically. If an assignment was made in error, correct the underlying sales_commissions record by hand rather than re-assigning the order, and involve a supervisor.</w:t>
      </w:r>
    </w:p>
    <w:p>
      <w:pPr>
        <w:spacing w:after="160" w:line="276"/>
        <w:jc w:val="both"/>
      </w:pPr>
      <w:r>
        <w:rPr>
          <w:rFonts w:ascii="Calibri" w:cs="Calibri" w:eastAsia="Calibri" w:hAnsi="Calibri"/>
          <w:b w:val="false"/>
          <w:bCs w:val="false"/>
          <w:i w:val="false"/>
          <w:iCs w:val="false"/>
          <w:color w:val="1A1A1A"/>
          <w:sz w:val="21"/>
          <w:szCs w:val="21"/>
        </w:rPr>
        <w:t xml:space="preserve">Credit-bundle (Tutoring Credit) purchases can be attributed to a sales agent the same way, for tracking, but do not currently generate an automatic commission — only subscription sales do.</w:t>
      </w:r>
    </w:p>
    <w:p>
      <w:pPr>
        <w:pStyle w:val="Heading3"/>
        <w:spacing w:after="120" w:before="260"/>
      </w:pPr>
      <w:r>
        <w:rPr>
          <w:rFonts w:ascii="Calibri" w:cs="Calibri" w:eastAsia="Calibri" w:hAnsi="Calibri"/>
          <w:b/>
          <w:bCs/>
          <w:i w:val="false"/>
          <w:iCs w:val="false"/>
          <w:color w:val="1D6B45"/>
          <w:sz w:val="23"/>
          <w:szCs w:val="23"/>
        </w:rPr>
        <w:t xml:space="preserve">14.11 Payroll Module (Admin)</w:t>
      </w:r>
    </w:p>
    <w:p>
      <w:pPr>
        <w:spacing w:after="160" w:line="276"/>
        <w:jc w:val="both"/>
      </w:pPr>
      <w:r>
        <w:rPr>
          <w:rFonts w:ascii="Calibri" w:cs="Calibri" w:eastAsia="Calibri" w:hAnsi="Calibri"/>
          <w:b w:val="false"/>
          <w:bCs w:val="false"/>
          <w:i w:val="false"/>
          <w:iCs w:val="false"/>
          <w:color w:val="1A1A1A"/>
          <w:sz w:val="21"/>
          <w:szCs w:val="21"/>
        </w:rPr>
        <w:t xml:space="preserve">Every staff member can generate and download their own payslips from My EduJA — EduJA builds these on demand as PDF or Word documents straight from the recorded pay-run data, so Administration does not need to prepare or send payslips individually.</w:t>
      </w:r>
    </w:p>
    <w:p>
      <w:pPr>
        <w:spacing w:after="160" w:line="276"/>
        <w:jc w:val="both"/>
      </w:pPr>
      <w:r>
        <w:rPr>
          <w:rFonts w:ascii="Calibri" w:cs="Calibri" w:eastAsia="Calibri" w:hAnsi="Calibri"/>
          <w:b w:val="false"/>
          <w:bCs w:val="false"/>
          <w:i w:val="false"/>
          <w:iCs w:val="false"/>
          <w:color w:val="1A1A1A"/>
          <w:sz w:val="21"/>
          <w:szCs w:val="21"/>
        </w:rPr>
        <w:t xml:space="preserve">Setting up and running payroll is done from the Admin Dashboard. Configure each staff member’s payroll profile once (pay rate, schedule, and any standing deductions), then create a pay-run for the period, review the figures it generates, and finalize it. Finalizing a pay-run is what makes that period’s payslips available to staff, so do not finalize a run you have not reviewed line by line.</w:t>
      </w:r>
    </w:p>
    <w:p>
      <w:pPr>
        <w:spacing w:after="160" w:line="276"/>
        <w:jc w:val="both"/>
      </w:pPr>
      <w:r>
        <w:rPr>
          <w:rFonts w:ascii="Calibri" w:cs="Calibri" w:eastAsia="Calibri" w:hAnsi="Calibri"/>
          <w:b w:val="false"/>
          <w:bCs w:val="false"/>
          <w:i w:val="false"/>
          <w:iCs w:val="false"/>
          <w:color w:val="1A1A1A"/>
          <w:sz w:val="21"/>
          <w:szCs w:val="21"/>
        </w:rPr>
        <w:t xml:space="preserve">Payroll data — pay rates, bank details, and payslip contents — is personal data like any other under §6. Access it only as your role requires, and never discuss or share one staff member’s payroll information with another.</w:t>
      </w:r>
    </w:p>
    <w:p>
      <w:pPr>
        <w:pStyle w:val="Heading3"/>
        <w:spacing w:after="120" w:before="260"/>
      </w:pPr>
      <w:r>
        <w:rPr>
          <w:rFonts w:ascii="Calibri" w:cs="Calibri" w:eastAsia="Calibri" w:hAnsi="Calibri"/>
          <w:b/>
          <w:bCs/>
          <w:i w:val="false"/>
          <w:iCs w:val="false"/>
          <w:color w:val="1D6B45"/>
          <w:sz w:val="23"/>
          <w:szCs w:val="23"/>
        </w:rPr>
        <w:t xml:space="preserve">14.12 Referral / Rewards Program Administration (Admin)</w:t>
      </w:r>
    </w:p>
    <w:p>
      <w:pPr>
        <w:spacing w:after="160" w:line="276"/>
        <w:jc w:val="both"/>
      </w:pPr>
      <w:r>
        <w:rPr>
          <w:rFonts w:ascii="Calibri" w:cs="Calibri" w:eastAsia="Calibri" w:hAnsi="Calibri"/>
          <w:b w:val="false"/>
          <w:bCs w:val="false"/>
          <w:i w:val="false"/>
          <w:iCs w:val="false"/>
          <w:color w:val="1A1A1A"/>
          <w:sz w:val="21"/>
          <w:szCs w:val="21"/>
        </w:rPr>
        <w:t xml:space="preserve">Every EduJA account has its own referral code and shareable link. A referral only qualifies after the referred person has held an active account for at least three months — an active plan for the whole period for a referred student, or an active plan plus real teaching activity for a referred teacher. That waiting period is there specifically to prevent people gaming the program, so it should never be manually overridden.</w:t>
      </w:r>
    </w:p>
    <w:p>
      <w:pPr>
        <w:spacing w:after="160" w:line="276"/>
        <w:jc w:val="both"/>
      </w:pPr>
      <w:r>
        <w:rPr>
          <w:rFonts w:ascii="Calibri" w:cs="Calibri" w:eastAsia="Calibri" w:hAnsi="Calibri"/>
          <w:i w:val="false"/>
          <w:iCs w:val="false"/>
          <w:color w:val="1A1A1A"/>
          <w:sz w:val="21"/>
          <w:szCs w:val="21"/>
        </w:rPr>
        <w:t xml:space="preserve">A referral is normally recorded automatically, either because the new member signed up through the referrer's link or because they typed the referrer's code into the "Referral or Partner Code" box on the registration form. If a new member signed up without the link or the code, and the referrer can show the contact was theirs (for example, a dated message inviting that person), an admin may add the referral by hand: go to Referrals &gt; Needs Action &gt; "Add a referral by hand", pick the referrer and the new member, and write the proof you were shown in the Reason box — it is kept on the record with your name and the date. A referral added this way starts as pending and must still pass the three-month wait and the fraud checks below. A member can only ever have one referrer. If the proof is weak, or two people claim the same new member, escalate to a supervisor rather than deciding yourself.</w:t>
      </w:r>
    </w:p>
    <w:p>
      <w:pPr>
        <w:spacing w:after="160" w:line="276"/>
        <w:jc w:val="both"/>
      </w:pPr>
      <w:r>
        <w:rPr>
          <w:rFonts w:ascii="Calibri" w:cs="Calibri" w:eastAsia="Calibri" w:hAnsi="Calibri"/>
          <w:b w:val="false"/>
          <w:bCs w:val="false"/>
          <w:i w:val="false"/>
          <w:iCs w:val="false"/>
          <w:color w:val="1A1A1A"/>
          <w:sz w:val="21"/>
          <w:szCs w:val="21"/>
        </w:rPr>
        <w:t xml:space="preserve">Before a qualifying referral pays out, it passes three automated fraud checks: whether it looks like the same household, whether it shares a payment method with another account, and a volume check (more than 8 referrals from one account in 30 days). Anything that trips one of these checks is flagged rather than paid automatically, and lands on the Referrals tab of the Admin Dashboard for manual review.</w:t>
      </w:r>
    </w:p>
    <w:p>
      <w:pPr>
        <w:spacing w:after="160" w:line="276"/>
        <w:jc w:val="both"/>
      </w:pPr>
      <w:r>
        <w:rPr>
          <w:rFonts w:ascii="Calibri" w:cs="Calibri" w:eastAsia="Calibri" w:hAnsi="Calibri"/>
          <w:b w:val="false"/>
          <w:bCs w:val="false"/>
          <w:i w:val="false"/>
          <w:iCs w:val="false"/>
          <w:color w:val="1A1A1A"/>
          <w:sz w:val="21"/>
          <w:szCs w:val="21"/>
        </w:rPr>
        <w:t xml:space="preserve">1) Open the flagged referral on the Referrals tab and review why it was flagged alongside the accounts involved. 2) Approve it if the relationship looks genuine (a real family or classroom connection), or reject it if it looks manufactured. When you are not sure either way, escalate to a supervisor rather than guessing — the same standard as any other irregular account activity.</w:t>
      </w:r>
    </w:p>
    <w:p>
      <w:pPr>
        <w:spacing w:after="160" w:line="276"/>
        <w:jc w:val="both"/>
      </w:pPr>
      <w:r>
        <w:rPr>
          <w:rFonts w:ascii="Calibri" w:cs="Calibri" w:eastAsia="Calibri" w:hAnsi="Calibri"/>
          <w:b w:val="false"/>
          <w:bCs w:val="false"/>
          <w:i w:val="false"/>
          <w:iCs w:val="false"/>
          <w:color w:val="1A1A1A"/>
          <w:sz w:val="21"/>
          <w:szCs w:val="21"/>
        </w:rPr>
        <w:t xml:space="preserve">When a referral qualifies and clears review, the reward depends on the referrer’s plan: a referrer with an active paid plan gets a free month added to that subscription automatically; a referrer without a paid plan gets a manual bonus credit queued for Administration to apply. A newly referred student separately receives a small welcome bonus on their own first paid order — that one is not part of the referral reward and does not need admin action.</w:t>
      </w:r>
    </w:p>
    <w:p>
      <w:pPr>
        <w:pStyle w:val="Heading3"/>
        <w:spacing w:after="120" w:before="260"/>
      </w:pPr>
      <w:r>
        <w:rPr>
          <w:rFonts w:ascii="Calibri" w:cs="Calibri" w:eastAsia="Calibri" w:hAnsi="Calibri"/>
          <w:b/>
          <w:bCs/>
          <w:i w:val="false"/>
          <w:iCs w:val="false"/>
          <w:color w:val="1D6B45"/>
          <w:sz w:val="23"/>
          <w:szCs w:val="23"/>
        </w:rPr>
        <w:t xml:space="preserve">14.13 “Pay a Different Amount” Payment Verification (Admin)</w:t>
      </w:r>
    </w:p>
    <w:p>
      <w:pPr>
        <w:spacing w:after="160" w:line="276"/>
        <w:jc w:val="both"/>
      </w:pPr>
      <w:r>
        <w:rPr>
          <w:rFonts w:ascii="Calibri" w:cs="Calibri" w:eastAsia="Calibri" w:hAnsi="Calibri"/>
          <w:b w:val="false"/>
          <w:bCs w:val="false"/>
          <w:i w:val="false"/>
          <w:iCs w:val="false"/>
          <w:color w:val="1A1A1A"/>
          <w:sz w:val="21"/>
          <w:szCs w:val="21"/>
        </w:rPr>
        <w:t xml:space="preserve">Customers can check out with a custom amount instead of a standard plan price, using the “Pay a Different Amount” option on the payment page — every custom amount must come with a short note from the customer explaining why. These arrive as an ordinary Pending Payment. Verify them the same way you verify any other payment under §14.3, but read the customer’s note first and confirm the amount you are about to approve actually matches what they explained. If the note is missing, vague, or does not add up to the amount requested, pause and escalate to a supervisor rather than approving it.</w:t>
      </w:r>
    </w:p>
    <w:p>
      <w:pPr>
        <w:pStyle w:val="Heading3"/>
        <w:spacing w:after="120" w:before="260"/>
      </w:pPr>
      <w:r>
        <w:rPr>
          <w:rFonts w:ascii="Calibri" w:cs="Calibri" w:eastAsia="Calibri" w:hAnsi="Calibri"/>
          <w:b/>
          <w:bCs/>
          <w:i w:val="false"/>
          <w:iCs w:val="false"/>
          <w:color w:val="1D6B45"/>
          <w:sz w:val="23"/>
          <w:szCs w:val="23"/>
        </w:rPr>
        <w:t xml:space="preserve">14.14 Community Partner Program Administration (Admin)</w:t>
      </w:r>
    </w:p>
    <w:p>
      <w:pPr>
        <w:spacing w:after="160" w:line="276"/>
        <w:jc w:val="both"/>
      </w:pPr>
      <w:r>
        <w:rPr>
          <w:rFonts w:ascii="Calibri" w:cs="Calibri" w:eastAsia="Calibri" w:hAnsi="Calibri"/>
          <w:b w:val="false"/>
          <w:bCs w:val="false"/>
          <w:i w:val="false"/>
          <w:iCs w:val="false"/>
          <w:color w:val="1A1A1A"/>
          <w:sz w:val="21"/>
          <w:szCs w:val="21"/>
        </w:rPr>
        <w:t xml:space="preserve">Schools, PTAs, clubs, churches, and similar organizations can enroll in the Community Partner Program to earn a cash incentive for connecting families to EduJA — separate from, and run alongside, the individual Referral/Rewards program in §14.12. Set up and manage it from the Partners tab of the Admin Dashboard.</w:t>
      </w:r>
    </w:p>
    <w:p>
      <w:pPr>
        <w:spacing w:after="160" w:line="276"/>
        <w:jc w:val="both"/>
      </w:pPr>
      <w:r>
        <w:rPr>
          <w:rFonts w:ascii="Calibri" w:cs="Calibri" w:eastAsia="Calibri" w:hAnsi="Calibri"/>
          <w:b w:val="false"/>
          <w:bCs w:val="false"/>
          <w:i w:val="false"/>
          <w:iCs w:val="false"/>
          <w:color w:val="1A1A1A"/>
          <w:sz w:val="21"/>
          <w:szCs w:val="21"/>
        </w:rPr>
        <w:t>Before an organization formally signs on, Administration works prospective partners through the Outreach Tracker (Partners &gt; Outreach) — a working list of schools, PTAs, clubs, churches, and other organizations still being recruited, separate from the Sign-Ups &amp; Payouts list of organizations already active. Each entry records the contact person, phone/email, outreach channel, and status, shows that organization’s own Partner Code once it is linked to an actual Partner Program record, and flags anyone due a follow-up.</w:t>
      </w:r>
    </w:p>
    <w:p>
      <w:pPr>
        <w:spacing w:after="160" w:line="276"/>
        <w:jc w:val="both"/>
      </w:pPr>
      <w:r>
        <w:rPr>
          <w:rFonts w:ascii="Calibri" w:cs="Calibri" w:eastAsia="Calibri" w:hAnsi="Calibri"/>
          <w:b w:val="false"/>
          <w:bCs w:val="false"/>
          <w:i w:val="false"/>
          <w:iCs w:val="false"/>
          <w:color w:val="1A1A1A"/>
          <w:sz w:val="21"/>
          <w:szCs w:val="21"/>
        </w:rPr>
        <w:t>The one-tap send buttons on each contact open the admin’s own WhatsApp, email, or the Organization Outreach Letter (via Google Docs) with the message already filled in from the wording saved under ✉️ Message Templates — nothing sends itself, and sending a letter still means filling in the organization’s name, printing or exporting it, and sending it by hand. After any of the three, confirm the prompt to log that contact as reached that day, which timestamps it on the tracker automatically.</w:t>
      </w:r>
    </w:p>
    <w:p>
      <w:pPr>
        <w:spacing w:after="160" w:line="276"/>
        <w:jc w:val="both"/>
      </w:pPr>
      <w:r>
        <w:rPr>
          <w:rFonts w:ascii="Calibri" w:cs="Calibri" w:eastAsia="Calibri" w:hAnsi="Calibri"/>
          <w:b w:val="false"/>
          <w:bCs w:val="false"/>
          <w:i w:val="false"/>
          <w:iCs w:val="false"/>
          <w:color w:val="1A1A1A"/>
          <w:sz w:val="21"/>
          <w:szCs w:val="21"/>
        </w:rPr>
        <w:t>Once a letter, email, or WhatsApp message actually goes out, file a copy of it — or a screenshot of the conversation — under 📎 Filed Documents on that contact, so there is a record reachable from any device rather than only whoever sent it. Files are capped at 3MB each; a phone screenshot or a print-to-PDF letter is normally well within that.</w:t>
      </w:r>
    </w:p>
    <w:p>
      <w:pPr>
        <w:spacing w:after="160" w:line="276"/>
        <w:jc w:val="both"/>
      </w:pPr>
      <w:r>
        <w:rPr>
          <w:rFonts w:ascii="Calibri" w:cs="Calibri" w:eastAsia="Calibri" w:hAnsi="Calibri"/>
          <w:b/>
          <w:bCs w:val="false"/>
          <w:i w:val="false"/>
          <w:iCs w:val="false"/>
          <w:color w:val="1A1A1A"/>
          <w:sz w:val="21"/>
          <w:szCs w:val="21"/>
        </w:rPr>
        <w:t>Each qualifying sign-up produces one incentive payment only — not a recurring payment.</w:t>
      </w:r>
      <w:r>
        <w:rPr>
          <w:rFonts w:ascii="Calibri" w:hAnsi="Calibri"/>
          <w:b w:val="0"/>
          <w:sz w:val="21"/>
        </w:rPr>
        <w:t xml:space="preserve"> A family that qualifies on the monthly plan earns the organization J$1,000 once; a family that qualifies on the annual plan earns J$9,600 once. There is no additional payout for the months that family stays subscribed, and none if they later renew — this matches the wording in the Community Partner Program Terms &amp; Enrollment Agreement (Partners &gt; Documents).</w:t>
      </w:r>
    </w:p>
    <w:p>
      <w:pPr>
        <w:spacing w:after="160" w:line="276"/>
        <w:jc w:val="both"/>
      </w:pPr>
      <w:r>
        <w:rPr>
          <w:rFonts w:ascii="Calibri" w:cs="Calibri" w:eastAsia="Calibri" w:hAnsi="Calibri"/>
          <w:b w:val="false"/>
          <w:bCs w:val="false"/>
          <w:i w:val="false"/>
          <w:iCs w:val="false"/>
          <w:color w:val="1A1A1A"/>
          <w:sz w:val="21"/>
          <w:szCs w:val="21"/>
        </w:rPr>
        <w:t xml:space="preserve">Onboarding a new partner: create the organization’s record from the Partners tab (name, type, contact details) and assign it a unique code, then have the organization’s authorized signatory complete the Community Partner Program Terms &amp; Enrollment Agreement — including the organization’s own bank account details, never a personal account. Blank copies of that agreement, the outreach letter, and the letterhead template are all under Partners &gt; Documents. Do not move a partner’s status from Pending to Active — which is what makes its code start counting sign-ups — until the signed agreement and bank details are on file.</w:t>
      </w:r>
    </w:p>
    <w:p>
      <w:pPr>
        <w:spacing w:after="160" w:line="276"/>
        <w:jc w:val="both"/>
      </w:pPr>
      <w:r>
        <w:rPr>
          <w:rFonts w:ascii="Calibri" w:cs="Calibri" w:eastAsia="Calibri" w:hAnsi="Calibri"/>
          <w:b w:val="false"/>
          <w:bCs w:val="false"/>
          <w:i w:val="false"/>
          <w:iCs w:val="false"/>
          <w:color w:val="1A1A1A"/>
          <w:sz w:val="21"/>
          <w:szCs w:val="21"/>
        </w:rPr>
        <w:t xml:space="preserve">Tracking works by code, not by email. A sign-up counts toward an organization when the family used that organization’s own link (the eduja.org/portal.html?partner=CODE address) or typed the organization’s code into the “Referral or Partner Code” box on the registration form. It is never matched by the organization’s email address. If a partner’s contact reports a family that should be theirs but the family registered without the link or the code, an admin may credit that sign-up by hand once the organization has shown reasonable proof: go to Partners &gt; Sign-Ups &amp; Payouts &gt; “Credit a sign-up to a partner by hand”, pick the organization and the student, and record the proof in the Reason box. A student can only be credited to one organization, and a sign-up credited by hand must still qualify in the normal way before it is paid.</w:t>
      </w:r>
    </w:p>
    <w:p>
      <w:pPr>
        <w:spacing w:after="160" w:line="276"/>
        <w:jc w:val="both"/>
      </w:pPr>
      <w:r>
        <w:rPr>
          <w:rFonts w:ascii="Calibri" w:cs="Calibri" w:eastAsia="Calibri" w:hAnsi="Calibri"/>
          <w:b w:val="false"/>
          <w:bCs w:val="false"/>
          <w:i w:val="false"/>
          <w:iCs w:val="false"/>
          <w:color w:val="1A1A1A"/>
          <w:sz w:val="21"/>
          <w:szCs w:val="21"/>
        </w:rPr>
        <w:t xml:space="preserve">A sign-up only qualifies for payment once it has paid for the Full Curriculum plan under the organization’s code and stayed active and paid for 30 consecutive days — the same qualification pattern as the personal referral program, checked automatically once a day. A qualifying sign-up appears on Partners &gt; Sign-Ups &amp; Payouts as qualified; anything the automated volume check flags for an unusually high number of sign-ups from one organization needs the same manual judgment call as a flagged personal referral under §14.12 — approve if the sign-ups look genuine, reject if they do not, and escalate to a supervisor when you are not sure.</w:t>
      </w:r>
    </w:p>
    <w:p>
      <w:pPr>
        <w:spacing w:after="160" w:line="276"/>
        <w:jc w:val="both"/>
      </w:pPr>
      <w:r>
        <w:rPr>
          <w:rFonts w:ascii="Calibri" w:cs="Calibri" w:eastAsia="Calibri" w:hAnsi="Calibri"/>
          <w:b w:val="false"/>
          <w:bCs w:val="false"/>
          <w:i w:val="false"/>
          <w:iCs w:val="false"/>
          <w:color w:val="1A1A1A"/>
          <w:sz w:val="21"/>
          <w:szCs w:val="21"/>
        </w:rPr>
        <w:t xml:space="preserve">Payment is made once a month, on the last business day: select that month’s qualified sign-ups on Partners &gt; Sign-Ups &amp; Payouts and mark them paid — this records the payout in EduJA but does not move any money itself, so the actual bank transfer to each organization’s own account is a separate step carried out through the Company’s normal banking process. Never pay a partner organization by cheque or cash under this program, and never pay to any account that is not held in the organization’s own name. If a payment behind a qualified or already-paid sign-up is later refunded, the sign-up’s status is reversed automatically so it is excluded from future payouts — no manual action is needed for that part.</w:t>
      </w:r>
    </w:p>
    <w:p>
      <w:pPr>
        <w:pStyle w:val="Heading3"/>
        <w:spacing w:after="120" w:before="260"/>
      </w:pPr>
      <w:r>
        <w:rPr>
          <w:rFonts w:ascii="Calibri" w:cs="Calibri" w:eastAsia="Calibri" w:hAnsi="Calibri"/>
          <w:b/>
          <w:bCs/>
          <w:i w:val="false"/>
          <w:iCs w:val="false"/>
          <w:color w:val="1D6B45"/>
          <w:sz w:val="23"/>
          <w:szCs w:val="23"/>
        </w:rPr>
        <w:t xml:space="preserve">14.15 Demo Account Program (Admin)</w:t>
      </w:r>
    </w:p>
    <w:p>
      <w:pPr>
        <w:spacing w:after="160" w:line="276"/>
        <w:jc w:val="both"/>
      </w:pPr>
      <w:r>
        <w:rPr>
          <w:rFonts w:ascii="Calibri" w:cs="Calibri" w:eastAsia="Calibri" w:hAnsi="Calibri"/>
          <w:b w:val="false"/>
          <w:bCs w:val="false"/>
          <w:i w:val="false"/>
          <w:iCs w:val="false"/>
          <w:color w:val="1A1A1A"/>
          <w:sz w:val="21"/>
          <w:szCs w:val="21"/>
        </w:rPr>
        <w:t xml:space="preserve">EduJA also offers a small number of rotating demo/preview logins that let a prospective organization — most often a school principal, PTA, or church leader considering the Community Partner Program in §14.14 — explore the platform before committing, without printing or emailing out anyone’s real password. These are dedicated accounts, never a real student’s or family’s own login, and are managed entirely from the Users tab.</w:t>
      </w:r>
    </w:p>
    <w:p>
      <w:pPr>
        <w:spacing w:after="160" w:line="276"/>
        <w:jc w:val="both"/>
      </w:pPr>
      <w:r>
        <w:rPr>
          <w:rFonts w:ascii="Calibri" w:cs="Calibri" w:eastAsia="Calibri" w:hAnsi="Calibri"/>
          <w:b w:val="false"/>
          <w:bCs w:val="false"/>
          <w:i w:val="false"/>
          <w:iCs w:val="false"/>
          <w:color w:val="1A1A1A"/>
          <w:sz w:val="21"/>
          <w:szCs w:val="21"/>
        </w:rPr>
        <w:t xml:space="preserve">A demo account uses the existing QA Reviewer role (the Users tab’s role dropdown) rather than a paid plan, which is what gives it full, unrestricted access to every grade and every subject with nothing else to configure — the same bypass built for MoE curriculum review. Leave its Assigned Teacher unset, as it is by default, so it can never message or book time with a real teacher, and never assign one to a demo account.</w:t>
      </w:r>
    </w:p>
    <w:p>
      <w:pPr>
        <w:spacing w:after="160" w:line="276"/>
        <w:jc w:val="both"/>
      </w:pPr>
      <w:r>
        <w:rPr>
          <w:rFonts w:ascii="Calibri" w:cs="Calibri" w:eastAsia="Calibri" w:hAnsi="Calibri"/>
          <w:b w:val="false"/>
          <w:bCs w:val="false"/>
          <w:i w:val="false"/>
          <w:iCs w:val="false"/>
          <w:color w:val="1A1A1A"/>
          <w:sz w:val="21"/>
          <w:szCs w:val="21"/>
        </w:rPr>
        <w:t xml:space="preserve">The risk with a fully open login is that a decision-maker could hand it to their entire student body instead of previewing it personally — full access for everyone, no paid sign-up needed. To prevent that without taking away any content, turn on the 🧪 Demo Account toggle for the account from Users &gt; Manage (this sets the account’s is_demo_account flag). It extends the same single-session protection already built for student accounts: signing in on a new device instantly signs out whichever session was already open. One reviewer exploring the site on their own laptop is unaffected; a whole class trying to share the same login at once finds it constantly signs the last person out, which defeats mass simultaneous use. It does not stop someone from relaying what they see to others by hand — a screen-share, a photo, a printed page — no shared login can fully prevent that, and it is not meant to.</w:t>
      </w:r>
    </w:p>
    <w:p>
      <w:pPr>
        <w:spacing w:after="160" w:line="276"/>
        <w:jc w:val="both"/>
      </w:pPr>
      <w:r>
        <w:rPr>
          <w:rFonts w:ascii="Calibri" w:cs="Calibri" w:eastAsia="Calibri" w:hAnsi="Calibri"/>
          <w:b w:val="false"/>
          <w:bCs w:val="false"/>
          <w:i w:val="false"/>
          <w:iCs w:val="false"/>
          <w:color w:val="1A1A1A"/>
          <w:sz w:val="21"/>
          <w:szCs w:val="21"/>
        </w:rPr>
        <w:t xml:space="preserve">Each demo account still needs its own distinct email address to sign up. Rather than creating new mailboxes, add a “+” tag to an email address the Company already controls — for example yourname+demo2@gmail.com — mail still arrives in the same inbox, but EduJA (and Gmail) treat it as a distinct address, so it passes the sign-up form’s availability check like any other new account. Register it through the ordinary Sign Up page, then from the Users tab set its role to Reviewer and turn on the Demo Account toggle.</w:t>
      </w:r>
    </w:p>
    <w:p>
      <w:pPr>
        <w:spacing w:after="160" w:line="276"/>
        <w:jc w:val="both"/>
      </w:pPr>
      <w:r>
        <w:rPr>
          <w:rFonts w:ascii="Calibri" w:cs="Calibri" w:eastAsia="Calibri" w:hAnsi="Calibri"/>
          <w:b w:val="false"/>
          <w:bCs w:val="false"/>
          <w:i w:val="false"/>
          <w:iCs w:val="false"/>
          <w:color w:val="1A1A1A"/>
          <w:sz w:val="21"/>
          <w:szCs w:val="21"/>
        </w:rPr>
        <w:t xml:space="preserve">Review demo accounts periodically the same way you review flagged referrals: an unusual pattern of repeated single-session sign-outs on one account in a short window is the clearest sign it is being passed around rather than used by one person, and is reason to reach out to the organization or simply disable the account (Users &gt; Disable) and issue a fresh one. Never publish a demo account’s password in a bulk-printed flyer or mass email — invite the organization to ask for one instead, as the Outreach Letter and WhatsApp draft under Partners &gt; Documents already do, so a login only ever reaches someone who specifically requested it.</w:t>
      </w:r>
    </w:p>
    <w:p>
      <w:r>
        <w:br w:type="page"/>
      </w:r>
    </w:p>
    <w:p>
      <w:pPr>
        <w:pStyle w:val="Heading2"/>
        <w:spacing w:after="160" w:before="360"/>
      </w:pPr>
      <w:r>
        <w:rPr>
          <w:rFonts w:ascii="Cambria" w:cs="Cambria" w:eastAsia="Cambria" w:hAnsi="Cambria"/>
          <w:b/>
          <w:bCs/>
          <w:color w:val="1A1A1A"/>
          <w:sz w:val="25"/>
          <w:szCs w:val="25"/>
        </w:rPr>
        <w:t xml:space="preserve">15. Teacher Training Module</w:t>
      </w:r>
    </w:p>
    <w:p>
      <w:pPr>
        <w:pStyle w:val="Heading3"/>
        <w:spacing w:after="120" w:before="260"/>
      </w:pPr>
      <w:r>
        <w:rPr>
          <w:rFonts w:ascii="Calibri" w:cs="Calibri" w:eastAsia="Calibri" w:hAnsi="Calibri"/>
          <w:b/>
          <w:bCs/>
          <w:i w:val="false"/>
          <w:iCs w:val="false"/>
          <w:color w:val="1D6B45"/>
          <w:sz w:val="23"/>
          <w:szCs w:val="23"/>
        </w:rPr>
        <w:t xml:space="preserve">15.1 Role overview</w:t>
      </w:r>
    </w:p>
    <w:p>
      <w:pPr>
        <w:spacing w:after="160" w:line="276"/>
        <w:jc w:val="both"/>
      </w:pPr>
      <w:r>
        <w:rPr>
          <w:rFonts w:ascii="Calibri" w:cs="Calibri" w:eastAsia="Calibri" w:hAnsi="Calibri"/>
          <w:b w:val="false"/>
          <w:bCs w:val="false"/>
          <w:i w:val="false"/>
          <w:iCs w:val="false"/>
          <w:color w:val="1A1A1A"/>
          <w:sz w:val="21"/>
          <w:szCs w:val="21"/>
        </w:rPr>
        <w:t xml:space="preserve">Teachers are the academic heart of EduJA. You deliver the Jamaican MOE-aligned curriculum, respond to and support your assigned students, review AI-drafted practice content before it reaches a student, and — because you interact directly with minors — carry the highest responsibility in this handbook for safeguarding and professional conduct.</w:t>
      </w:r>
    </w:p>
    <w:p>
      <w:pPr>
        <w:pStyle w:val="Heading3"/>
        <w:spacing w:after="120" w:before="260"/>
      </w:pPr>
      <w:r>
        <w:rPr>
          <w:rFonts w:ascii="Calibri" w:cs="Calibri" w:eastAsia="Calibri" w:hAnsi="Calibri"/>
          <w:b/>
          <w:bCs/>
          <w:i w:val="false"/>
          <w:iCs w:val="false"/>
          <w:color w:val="1D6B45"/>
          <w:sz w:val="23"/>
          <w:szCs w:val="23"/>
        </w:rPr>
        <w:t xml:space="preserve">15.2 The Teacher Portal</w:t>
      </w:r>
    </w:p>
    <w:p>
      <w:pPr>
        <w:pStyle w:val="ListParagraph"/>
        <w:numPr>
          <w:ilvl w:val="0"/>
          <w:numId w:val="2"/>
        </w:numPr>
        <w:spacing w:after="90" w:line="276"/>
      </w:pPr>
      <w:r>
        <w:rPr>
          <w:rFonts w:ascii="Calibri" w:cs="Calibri" w:eastAsia="Calibri" w:hAnsi="Calibri"/>
          <w:color w:val="1A1A1A"/>
          <w:sz w:val="21"/>
          <w:szCs w:val="21"/>
        </w:rPr>
        <w:t xml:space="preserve">Messaging: you can message only the students formally assigned to you. A student can only message their own assigned teacher — this is a deliberate safety design, not a limitation to work around.</w:t>
      </w:r>
    </w:p>
    <w:p>
      <w:pPr>
        <w:pStyle w:val="ListParagraph"/>
        <w:numPr>
          <w:ilvl w:val="0"/>
          <w:numId w:val="2"/>
        </w:numPr>
        <w:spacing w:after="90" w:line="276"/>
      </w:pPr>
      <w:r>
        <w:rPr>
          <w:rFonts w:ascii="Calibri" w:cs="Calibri" w:eastAsia="Calibri" w:hAnsi="Calibri"/>
          <w:color w:val="1A1A1A"/>
          <w:sz w:val="21"/>
          <w:szCs w:val="21"/>
        </w:rPr>
        <w:t xml:space="preserve">Booking &amp; calendar: on eligible plans, students can book voice or video sessions with you through the platform's calendar. Manage your availability there and use the platform's own cancel/reschedule tools rather than informal arrangements.</w:t>
      </w:r>
    </w:p>
    <w:p>
      <w:pPr>
        <w:pStyle w:val="ListParagraph"/>
        <w:numPr>
          <w:ilvl w:val="0"/>
          <w:numId w:val="2"/>
        </w:numPr>
        <w:spacing w:after="90" w:line="276"/>
      </w:pPr>
      <w:r>
        <w:rPr>
          <w:rFonts w:ascii="Calibri" w:cs="Calibri" w:eastAsia="Calibri" w:hAnsi="Calibri"/>
          <w:color w:val="1A1A1A"/>
          <w:sz w:val="21"/>
          <w:szCs w:val="21"/>
        </w:rPr>
        <w:t xml:space="preserve">Assignments: you can assign homework and coursework (including external/textbook-linked homework) and track status through the portal.</w:t>
      </w:r>
    </w:p>
    <w:p>
      <w:pPr>
        <w:pStyle w:val="ListParagraph"/>
        <w:numPr>
          <w:ilvl w:val="0"/>
          <w:numId w:val="2"/>
        </w:numPr>
        <w:spacing w:after="90" w:line="276"/>
      </w:pPr>
      <w:r>
        <w:rPr>
          <w:rFonts w:ascii="Calibri" w:cs="Calibri" w:eastAsia="Calibri" w:hAnsi="Calibri"/>
          <w:color w:val="1A1A1A"/>
          <w:sz w:val="21"/>
          <w:szCs w:val="21"/>
        </w:rPr>
        <w:t xml:space="preserve">Call history: past session activity is visible in the portal for continuity between sessions.</w:t>
      </w:r>
    </w:p>
    <w:p>
      <w:pPr>
        <w:pStyle w:val="Heading3"/>
        <w:spacing w:after="120" w:before="260"/>
      </w:pPr>
      <w:r>
        <w:rPr>
          <w:rFonts w:ascii="Calibri" w:cs="Calibri" w:eastAsia="Calibri" w:hAnsi="Calibri"/>
          <w:b/>
          <w:bCs/>
          <w:i w:val="false"/>
          <w:iCs w:val="false"/>
          <w:color w:val="1D6B45"/>
          <w:sz w:val="23"/>
          <w:szCs w:val="23"/>
        </w:rPr>
        <w:t xml:space="preserve">15.3 Curriculum fidelity</w:t>
      </w:r>
    </w:p>
    <w:p>
      <w:pPr>
        <w:spacing w:after="160" w:line="276"/>
        <w:jc w:val="both"/>
      </w:pPr>
      <w:r>
        <w:rPr>
          <w:rFonts w:ascii="Calibri" w:cs="Calibri" w:eastAsia="Calibri" w:hAnsi="Calibri"/>
          <w:b w:val="false"/>
          <w:bCs w:val="false"/>
          <w:i w:val="false"/>
          <w:iCs w:val="false"/>
          <w:color w:val="1A1A1A"/>
          <w:sz w:val="21"/>
          <w:szCs w:val="21"/>
        </w:rPr>
        <w:t xml:space="preserve">Teach to the curriculum for the student's grade — the Jamaican MOE National Standards Curriculum in Grades 7–9, and the CSEC and CAPE syllabuses in the upper grades — using the lesson materials and question banks provided on the platform. If you believe a lesson or question needs correction or improvement, flag it through the process your supervisor gives you rather than silently changing what a student sees, so corrections are tracked and benefit every student, not just yours.</w:t>
      </w:r>
    </w:p>
    <w:p>
      <w:pPr>
        <w:pStyle w:val="Heading3"/>
        <w:spacing w:after="120" w:before="260"/>
      </w:pPr>
      <w:r>
        <w:rPr>
          <w:rFonts w:ascii="Calibri" w:cs="Calibri" w:eastAsia="Calibri" w:hAnsi="Calibri"/>
          <w:b/>
          <w:bCs/>
          <w:i w:val="false"/>
          <w:iCs w:val="false"/>
          <w:color w:val="1D6B45"/>
          <w:sz w:val="23"/>
          <w:szCs w:val="23"/>
        </w:rPr>
        <w:t xml:space="preserve">15.4 Reviewing AI-drafted questions — your responsibility, not optional</w:t>
      </w:r>
    </w:p>
    <w:tbl>
      <w:tblPr>
        <w:tblW w:type="dxa" w:w="9350"/>
        <w:tblBorders>
          <w:top w:val="single" w:color="14532D" w:sz="4"/>
          <w:left w:val="single" w:color="14532D" w:sz="24"/>
          <w:bottom w:val="single" w:color="14532D" w:sz="4"/>
          <w:right w:val="single" w:color="14532D" w:sz="4"/>
          <w:insideH w:val="none" w:color="FFFFFF" w:sz="0"/>
          <w:insideV w:val="none" w:color="FFFFFF" w:sz="0"/>
        </w:tblBorders>
      </w:tblPr>
      <w:tblGrid>
        <w:gridCol w:w="9350"/>
      </w:tblGrid>
      <w:tr>
        <w:tc>
          <w:tcPr>
            <w:tcW w:type="dxa" w:w="9350"/>
            <w:shd w:fill="E8F1EC" w:color="auto" w:val="clear"/>
            <w:tcMar>
              <w:top w:type="dxa" w:w="160"/>
              <w:left w:type="dxa" w:w="220"/>
              <w:bottom w:type="dxa" w:w="160"/>
              <w:right w:type="dxa" w:w="220"/>
            </w:tcMar>
          </w:tcPr>
          <w:p>
            <w:pPr>
              <w:spacing w:after="80"/>
            </w:pPr>
            <w:r>
              <w:rPr>
                <w:rFonts w:ascii="Calibri" w:cs="Calibri" w:eastAsia="Calibri" w:hAnsi="Calibri"/>
                <w:b/>
                <w:bCs/>
                <w:color w:val="14532D"/>
                <w:sz w:val="21"/>
                <w:szCs w:val="21"/>
              </w:rPr>
              <w:t xml:space="preserve">Every AI-drafted question must be reviewed by a qualified teacher before a student sees it</w:t>
            </w:r>
          </w:p>
          <w:p>
            <w:pPr>
              <w:spacing w:after="80" w:line="264"/>
            </w:pPr>
            <w:r>
              <w:rPr>
                <w:rFonts w:ascii="Calibri" w:cs="Calibri" w:eastAsia="Calibri" w:hAnsi="Calibri"/>
                <w:color w:val="1A1A1A"/>
                <w:sz w:val="20"/>
                <w:szCs w:val="20"/>
              </w:rPr>
              <w:t xml:space="preserve">AI (via Groq) helps draft new practice questions faster, but a machine-drafted question is never released to a student without a qualified teacher reviewing it first for accuracy, appropriateness, and alignment with the curriculum.</w:t>
            </w:r>
          </w:p>
          <w:p>
            <w:pPr>
              <w:spacing w:after="80" w:line="264"/>
            </w:pPr>
            <w:r>
              <w:rPr>
                <w:rFonts w:ascii="Calibri" w:cs="Calibri" w:eastAsia="Calibri" w:hAnsi="Calibri"/>
                <w:color w:val="1A1A1A"/>
                <w:sz w:val="20"/>
                <w:szCs w:val="20"/>
              </w:rPr>
              <w:t xml:space="preserve">If a draft question is wrong, unclear, or inappropriate, correct it or reject it — do not approve something you have not actually checked.</w:t>
            </w:r>
          </w:p>
          <w:p>
            <w:pPr>
              <w:spacing w:after="80" w:line="264"/>
            </w:pPr>
            <w:r>
              <w:rPr>
                <w:rFonts w:ascii="Calibri" w:cs="Calibri" w:eastAsia="Calibri" w:hAnsi="Calibri"/>
                <w:color w:val="1A1A1A"/>
                <w:sz w:val="20"/>
                <w:szCs w:val="20"/>
              </w:rPr>
              <w:t xml:space="preserve">This is one of the specific claims we make publicly about EduJA's quality and safety. Treating this review as a formality undermines both the product and the Company's credibility.</w:t>
            </w:r>
          </w:p>
        </w:tc>
      </w:tr>
    </w:tbl>
    <w:p>
      <w:pPr>
        <w:spacing w:after="120"/>
      </w:pPr>
    </w:p>
    <w:p>
      <w:pPr>
        <w:pStyle w:val="Heading3"/>
        <w:spacing w:after="120" w:before="260"/>
      </w:pPr>
      <w:r>
        <w:rPr>
          <w:rFonts w:ascii="Calibri" w:cs="Calibri" w:eastAsia="Calibri" w:hAnsi="Calibri"/>
          <w:b/>
          <w:bCs/>
          <w:i w:val="false"/>
          <w:iCs w:val="false"/>
          <w:color w:val="1D6B45"/>
          <w:sz w:val="23"/>
          <w:szCs w:val="23"/>
        </w:rPr>
        <w:t xml:space="preserve">15.5 Communication standards &amp; safeguarding (read together with §9.2)</w:t>
      </w:r>
    </w:p>
    <w:p>
      <w:pPr>
        <w:pStyle w:val="ListParagraph"/>
        <w:numPr>
          <w:ilvl w:val="0"/>
          <w:numId w:val="2"/>
        </w:numPr>
        <w:spacing w:after="90" w:line="276"/>
      </w:pPr>
      <w:r>
        <w:rPr>
          <w:rFonts w:ascii="Calibri" w:cs="Calibri" w:eastAsia="Calibri" w:hAnsi="Calibri"/>
          <w:color w:val="1A1A1A"/>
          <w:sz w:val="21"/>
          <w:szCs w:val="21"/>
        </w:rPr>
        <w:t xml:space="preserve">All contact with a student happens on the EduJA platform — messaging or a booked session. Never move a conversation with a student to your personal phone, personal social media, or personal email.</w:t>
      </w:r>
    </w:p>
    <w:p>
      <w:pPr>
        <w:pStyle w:val="ListParagraph"/>
        <w:numPr>
          <w:ilvl w:val="0"/>
          <w:numId w:val="2"/>
        </w:numPr>
        <w:spacing w:after="90" w:line="276"/>
      </w:pPr>
      <w:r>
        <w:rPr>
          <w:rFonts w:ascii="Calibri" w:cs="Calibri" w:eastAsia="Calibri" w:hAnsi="Calibri"/>
          <w:color w:val="1A1A1A"/>
          <w:sz w:val="21"/>
          <w:szCs w:val="21"/>
        </w:rPr>
        <w:t xml:space="preserve">Keep sessions focused on academic support and maintain a professional tone and appearance throughout, exactly as you would in a physical classroom.</w:t>
      </w:r>
    </w:p>
    <w:p>
      <w:pPr>
        <w:pStyle w:val="ListParagraph"/>
        <w:numPr>
          <w:ilvl w:val="0"/>
          <w:numId w:val="2"/>
        </w:numPr>
        <w:spacing w:after="90" w:line="276"/>
      </w:pPr>
      <w:r>
        <w:rPr>
          <w:rFonts w:ascii="Calibri" w:cs="Calibri" w:eastAsia="Calibri" w:hAnsi="Calibri"/>
          <w:color w:val="1A1A1A"/>
          <w:sz w:val="21"/>
          <w:szCs w:val="21"/>
        </w:rPr>
        <w:t xml:space="preserve">Voice/video sessions are not recorded by the Company (Daily.co, our call provider, captures only call metadata, not recordings) — do not attempt to record a session yourself without express, documented parent/guardian consent obtained through the Company, since doing so outside that process is not authorized.</w:t>
      </w:r>
    </w:p>
    <w:p>
      <w:pPr>
        <w:pStyle w:val="ListParagraph"/>
        <w:numPr>
          <w:ilvl w:val="0"/>
          <w:numId w:val="2"/>
        </w:numPr>
        <w:spacing w:after="90" w:line="276"/>
      </w:pPr>
      <w:r>
        <w:rPr>
          <w:rFonts w:ascii="Calibri" w:cs="Calibri" w:eastAsia="Calibri" w:hAnsi="Calibri"/>
          <w:color w:val="1A1A1A"/>
          <w:sz w:val="21"/>
          <w:szCs w:val="21"/>
        </w:rPr>
        <w:t xml:space="preserve">If a student shares something that concerns you — signs of distress, disclosure of harm, or a request that feels inappropriate — stop, do not try to resolve it yourself, and report it to a supervisor or the CEO the same day.</w:t>
      </w:r>
    </w:p>
    <w:p>
      <w:pPr>
        <w:pStyle w:val="ListParagraph"/>
        <w:numPr>
          <w:ilvl w:val="0"/>
          <w:numId w:val="2"/>
        </w:numPr>
        <w:spacing w:after="90" w:line="276"/>
      </w:pPr>
      <w:r>
        <w:rPr>
          <w:rFonts w:ascii="Calibri" w:cs="Calibri" w:eastAsia="Calibri" w:hAnsi="Calibri"/>
          <w:color w:val="1A1A1A"/>
          <w:sz w:val="21"/>
          <w:szCs w:val="21"/>
        </w:rPr>
        <w:t xml:space="preserve">Never accept a gift, favour, or payment from a student or their family outside the Company's official billing process.</w:t>
      </w:r>
    </w:p>
    <w:p>
      <w:pPr>
        <w:pStyle w:val="Heading3"/>
        <w:spacing w:after="120" w:before="260"/>
      </w:pPr>
      <w:r>
        <w:rPr>
          <w:rFonts w:ascii="Calibri" w:cs="Calibri" w:eastAsia="Calibri" w:hAnsi="Calibri"/>
          <w:b/>
          <w:bCs/>
          <w:i w:val="false"/>
          <w:iCs w:val="false"/>
          <w:color w:val="1D6B45"/>
          <w:sz w:val="23"/>
          <w:szCs w:val="23"/>
        </w:rPr>
        <w:t xml:space="preserve">15.6 Student data handling for teachers</w:t>
      </w:r>
    </w:p>
    <w:p>
      <w:pPr>
        <w:pStyle w:val="ListParagraph"/>
        <w:numPr>
          <w:ilvl w:val="0"/>
          <w:numId w:val="2"/>
        </w:numPr>
        <w:spacing w:after="90" w:line="276"/>
      </w:pPr>
      <w:r>
        <w:rPr>
          <w:rFonts w:ascii="Calibri" w:cs="Calibri" w:eastAsia="Calibri" w:hAnsi="Calibri"/>
          <w:color w:val="1A1A1A"/>
          <w:sz w:val="21"/>
          <w:szCs w:val="21"/>
        </w:rPr>
        <w:t xml:space="preserve">View and use the data only of students formally assigned to you — do not look up another teacher's student out of curiosity or convenience.</w:t>
      </w:r>
    </w:p>
    <w:p>
      <w:pPr>
        <w:pStyle w:val="ListParagraph"/>
        <w:numPr>
          <w:ilvl w:val="0"/>
          <w:numId w:val="2"/>
        </w:numPr>
        <w:spacing w:after="90" w:line="276"/>
      </w:pPr>
      <w:r>
        <w:rPr>
          <w:rFonts w:ascii="Calibri" w:cs="Calibri" w:eastAsia="Calibri" w:hAnsi="Calibri"/>
          <w:color w:val="1A1A1A"/>
          <w:sz w:val="21"/>
          <w:szCs w:val="21"/>
        </w:rPr>
        <w:t xml:space="preserve">Do not download, screenshot, or export student information, messages, or academic records for any purpose outside the platform.</w:t>
      </w:r>
    </w:p>
    <w:p>
      <w:pPr>
        <w:pStyle w:val="ListParagraph"/>
        <w:numPr>
          <w:ilvl w:val="0"/>
          <w:numId w:val="2"/>
        </w:numPr>
        <w:spacing w:after="90" w:line="276"/>
      </w:pPr>
      <w:r>
        <w:rPr>
          <w:rFonts w:ascii="Calibri" w:cs="Calibri" w:eastAsia="Calibri" w:hAnsi="Calibri"/>
          <w:color w:val="1A1A1A"/>
          <w:sz w:val="21"/>
          <w:szCs w:val="21"/>
        </w:rPr>
        <w:t xml:space="preserve">Respect that a student's profile photo is optional — never ask a student to add one, and never make its absence an issue.</w:t>
      </w:r>
    </w:p>
    <w:p>
      <w:pPr>
        <w:pStyle w:val="ListParagraph"/>
        <w:numPr>
          <w:ilvl w:val="0"/>
          <w:numId w:val="2"/>
        </w:numPr>
        <w:spacing w:after="90" w:line="276"/>
      </w:pPr>
      <w:r>
        <w:rPr>
          <w:rFonts w:ascii="Calibri" w:cs="Calibri" w:eastAsia="Calibri" w:hAnsi="Calibri"/>
          <w:color w:val="1A1A1A"/>
          <w:sz w:val="21"/>
          <w:szCs w:val="21"/>
        </w:rPr>
        <w:t xml:space="preserve">If a parent/guardian asks about their child's data directly, direct them to eduja.org/delete-account.html for deletion requests, or to Administration for any other data question — do not attempt to handle a formal data request yourself (see §6.5).</w:t>
      </w:r>
    </w:p>
    <w:p>
      <w:pPr>
        <w:pStyle w:val="Heading3"/>
        <w:spacing w:after="120" w:before="260"/>
      </w:pPr>
      <w:r>
        <w:rPr>
          <w:rFonts w:ascii="Calibri" w:cs="Calibri" w:eastAsia="Calibri" w:hAnsi="Calibri"/>
          <w:b/>
          <w:bCs/>
          <w:i w:val="false"/>
          <w:iCs w:val="false"/>
          <w:color w:val="1D6B45"/>
          <w:sz w:val="23"/>
          <w:szCs w:val="23"/>
        </w:rPr>
        <w:t xml:space="preserve">15.7 Grading &amp; feedback standards</w:t>
      </w:r>
    </w:p>
    <w:p>
      <w:pPr>
        <w:spacing w:after="160" w:line="276"/>
        <w:jc w:val="both"/>
      </w:pPr>
      <w:r>
        <w:rPr>
          <w:rFonts w:ascii="Calibri" w:cs="Calibri" w:eastAsia="Calibri" w:hAnsi="Calibri"/>
          <w:b w:val="false"/>
          <w:bCs w:val="false"/>
          <w:i w:val="false"/>
          <w:iCs w:val="false"/>
          <w:color w:val="1A1A1A"/>
          <w:sz w:val="21"/>
          <w:szCs w:val="21"/>
        </w:rPr>
        <w:t xml:space="preserve">Every practice question a student answers should come with a clear written explanation, consistent with the product's core promise — a wrong answer should teach the student something. Feedback on assignments and messages should be constructive, specific, and encouraging, reflecting the same professionalism standard as every other part of this handbook.</w:t>
      </w:r>
    </w:p>
    <w:p>
      <w:pPr>
        <w:pStyle w:val="Heading3"/>
        <w:spacing w:after="120" w:before="260"/>
      </w:pPr>
      <w:r>
        <w:rPr>
          <w:rFonts w:ascii="Calibri" w:cs="Calibri" w:eastAsia="Calibri" w:hAnsi="Calibri"/>
          <w:b/>
          <w:bCs/>
          <w:i w:val="false"/>
          <w:iCs w:val="false"/>
          <w:color w:val="1D6B45"/>
          <w:sz w:val="23"/>
          <w:szCs w:val="23"/>
        </w:rPr>
        <w:t xml:space="preserve">15.8 Contractor status</w:t>
      </w:r>
    </w:p>
    <w:p>
      <w:pPr>
        <w:spacing w:after="160" w:line="276"/>
        <w:jc w:val="both"/>
      </w:pPr>
      <w:r>
        <w:rPr>
          <w:rFonts w:ascii="Calibri" w:cs="Calibri" w:eastAsia="Calibri" w:hAnsi="Calibri"/>
          <w:b w:val="false"/>
          <w:bCs w:val="false"/>
          <w:i w:val="false"/>
          <w:iCs w:val="false"/>
          <w:color w:val="1A1A1A"/>
          <w:sz w:val="21"/>
          <w:szCs w:val="21"/>
        </w:rPr>
        <w:t xml:space="preserve">Many teachers are engaged as independent contractors rather than employees; your written agreement with the Company sets out your specific terms (payment, scheduling, termination). Regardless of your engagement type, the conduct, confidentiality, data protection, and safeguarding sections of this handbook (§4–§9, and this Part III module) apply to you in full.</w:t>
      </w:r>
    </w:p>
    <w:p>
      <w:pPr>
        <w:pStyle w:val="Heading3"/>
        <w:spacing w:after="120" w:before="260"/>
      </w:pPr>
      <w:r>
        <w:rPr>
          <w:rFonts w:ascii="Calibri" w:cs="Calibri" w:eastAsia="Calibri" w:hAnsi="Calibri"/>
          <w:b/>
          <w:bCs/>
          <w:i w:val="false"/>
          <w:iCs w:val="false"/>
          <w:color w:val="1D6B45"/>
          <w:sz w:val="23"/>
          <w:szCs w:val="23"/>
        </w:rPr>
        <w:t xml:space="preserve">15.9 Teacher module checklist</w:t>
      </w:r>
    </w:p>
    <w:p>
      <w:pPr>
        <w:pStyle w:val="ListParagraph"/>
        <w:numPr>
          <w:ilvl w:val="0"/>
          <w:numId w:val="6"/>
        </w:numPr>
        <w:spacing w:after="100" w:line="276"/>
      </w:pPr>
      <w:r>
        <w:rPr>
          <w:rFonts w:ascii="Calibri" w:cs="Calibri" w:eastAsia="Calibri" w:hAnsi="Calibri"/>
          <w:color w:val="1A1A1A"/>
          <w:sz w:val="21"/>
          <w:szCs w:val="21"/>
        </w:rPr>
        <w:t xml:space="preserve">I understand all student contact must happen through the EduJA platform, never through personal channels.</w:t>
      </w:r>
    </w:p>
    <w:p>
      <w:pPr>
        <w:pStyle w:val="ListParagraph"/>
        <w:numPr>
          <w:ilvl w:val="0"/>
          <w:numId w:val="6"/>
        </w:numPr>
        <w:spacing w:after="100" w:line="276"/>
      </w:pPr>
      <w:r>
        <w:rPr>
          <w:rFonts w:ascii="Calibri" w:cs="Calibri" w:eastAsia="Calibri" w:hAnsi="Calibri"/>
          <w:color w:val="1A1A1A"/>
          <w:sz w:val="21"/>
          <w:szCs w:val="21"/>
        </w:rPr>
        <w:t xml:space="preserve">I understand I must personally review and, if needed, correct every AI-drafted question before it reaches a student.</w:t>
      </w:r>
    </w:p>
    <w:p>
      <w:pPr>
        <w:pStyle w:val="ListParagraph"/>
        <w:numPr>
          <w:ilvl w:val="0"/>
          <w:numId w:val="6"/>
        </w:numPr>
        <w:spacing w:after="100" w:line="276"/>
      </w:pPr>
      <w:r>
        <w:rPr>
          <w:rFonts w:ascii="Calibri" w:cs="Calibri" w:eastAsia="Calibri" w:hAnsi="Calibri"/>
          <w:color w:val="1A1A1A"/>
          <w:sz w:val="21"/>
          <w:szCs w:val="21"/>
        </w:rPr>
        <w:t xml:space="preserve">I know how to report a safeguarding concern immediately, and to whom.</w:t>
      </w:r>
    </w:p>
    <w:p>
      <w:pPr>
        <w:pStyle w:val="ListParagraph"/>
        <w:numPr>
          <w:ilvl w:val="0"/>
          <w:numId w:val="6"/>
        </w:numPr>
        <w:spacing w:after="100" w:line="276"/>
      </w:pPr>
      <w:r>
        <w:rPr>
          <w:rFonts w:ascii="Calibri" w:cs="Calibri" w:eastAsia="Calibri" w:hAnsi="Calibri"/>
          <w:color w:val="1A1A1A"/>
          <w:sz w:val="21"/>
          <w:szCs w:val="21"/>
        </w:rPr>
        <w:t xml:space="preserve">I only access the data of students formally assigned to me, and never export it.</w:t>
      </w:r>
    </w:p>
    <w:p>
      <w:pPr>
        <w:pStyle w:val="ListParagraph"/>
        <w:numPr>
          <w:ilvl w:val="0"/>
          <w:numId w:val="6"/>
        </w:numPr>
        <w:spacing w:after="100" w:line="276"/>
      </w:pPr>
      <w:r>
        <w:rPr>
          <w:rFonts w:ascii="Calibri" w:cs="Calibri" w:eastAsia="Calibri" w:hAnsi="Calibri"/>
          <w:color w:val="1A1A1A"/>
          <w:sz w:val="21"/>
          <w:szCs w:val="21"/>
        </w:rPr>
        <w:t xml:space="preserve">I understand sessions are not recorded by the Company, and I will not record one myself without Company-authorized parent/guardian consent.</w:t>
      </w:r>
    </w:p>
    <w:p>
      <w:pPr>
        <w:pStyle w:val="ListParagraph"/>
        <w:numPr>
          <w:ilvl w:val="0"/>
          <w:numId w:val="6"/>
        </w:numPr>
        <w:spacing w:after="100" w:line="276"/>
      </w:pPr>
      <w:r>
        <w:rPr>
          <w:rFonts w:ascii="Calibri" w:cs="Calibri" w:eastAsia="Calibri" w:hAnsi="Calibri"/>
          <w:color w:val="1A1A1A"/>
          <w:sz w:val="21"/>
          <w:szCs w:val="21"/>
        </w:rPr>
        <w:t xml:space="preserve">I understand my confidentiality obligations under §5 extend to everything a student shares with me.</w:t>
      </w:r>
    </w:p>
    <w:p>
      <w:r>
        <w:br w:type="page"/>
      </w:r>
    </w:p>
    <w:p>
      <w:pPr>
        <w:pStyle w:val="Heading1"/>
        <w:pBdr>
          <w:bottom w:val="single" w:color="14532D" w:sz="8" w:space="6"/>
        </w:pBdr>
        <w:spacing w:after="240" w:before="480"/>
      </w:pPr>
      <w:r>
        <w:rPr>
          <w:rFonts w:ascii="Cambria" w:cs="Cambria" w:eastAsia="Cambria" w:hAnsi="Cambria"/>
          <w:b/>
          <w:bCs/>
          <w:color w:val="14532D"/>
          <w:sz w:val="32"/>
          <w:szCs w:val="32"/>
        </w:rPr>
        <w:t xml:space="preserve">PART IV — COMPLIANCE, ACKNOWLEDGMENT &amp; SIGN-OFF</w:t>
      </w:r>
    </w:p>
    <w:p>
      <w:pPr>
        <w:pStyle w:val="Heading2"/>
        <w:spacing w:after="160" w:before="360"/>
      </w:pPr>
      <w:r>
        <w:rPr>
          <w:rFonts w:ascii="Cambria" w:cs="Cambria" w:eastAsia="Cambria" w:hAnsi="Cambria"/>
          <w:b/>
          <w:bCs/>
          <w:color w:val="1A1A1A"/>
          <w:sz w:val="25"/>
          <w:szCs w:val="25"/>
        </w:rPr>
        <w:t xml:space="preserve">16. Summary of Key Obligations</w:t>
      </w:r>
    </w:p>
    <w:p>
      <w:pPr>
        <w:spacing w:after="160" w:line="276"/>
        <w:jc w:val="both"/>
      </w:pPr>
      <w:r>
        <w:rPr>
          <w:rFonts w:ascii="Calibri" w:cs="Calibri" w:eastAsia="Calibri" w:hAnsi="Calibri"/>
          <w:b w:val="false"/>
          <w:bCs w:val="false"/>
          <w:i w:val="false"/>
          <w:iCs w:val="false"/>
          <w:color w:val="1A1A1A"/>
          <w:sz w:val="21"/>
          <w:szCs w:val="21"/>
        </w:rPr>
        <w:t xml:space="preserve">This is a quick-reference recap, not a substitute for reading the full handbook. Every box below should be true for you before you sign in §17.</w:t>
      </w:r>
    </w:p>
    <w:p>
      <w:pPr>
        <w:pStyle w:val="Heading3"/>
        <w:spacing w:after="120" w:before="260"/>
      </w:pPr>
      <w:r>
        <w:rPr>
          <w:rFonts w:ascii="Calibri" w:cs="Calibri" w:eastAsia="Calibri" w:hAnsi="Calibri"/>
          <w:b/>
          <w:bCs/>
          <w:i w:val="false"/>
          <w:iCs w:val="false"/>
          <w:color w:val="1D6B45"/>
          <w:sz w:val="23"/>
          <w:szCs w:val="23"/>
        </w:rPr>
        <w:t xml:space="preserve">Every staff member</w:t>
      </w:r>
    </w:p>
    <w:p>
      <w:pPr>
        <w:pStyle w:val="ListParagraph"/>
        <w:numPr>
          <w:ilvl w:val="0"/>
          <w:numId w:val="6"/>
        </w:numPr>
        <w:spacing w:after="100" w:line="276"/>
      </w:pPr>
      <w:r>
        <w:rPr>
          <w:rFonts w:ascii="Calibri" w:cs="Calibri" w:eastAsia="Calibri" w:hAnsi="Calibri"/>
          <w:color w:val="1A1A1A"/>
          <w:sz w:val="21"/>
          <w:szCs w:val="21"/>
        </w:rPr>
        <w:t xml:space="preserve">I will act honestly, treat everyone with respect, and avoid conflicts of interest (§4).</w:t>
      </w:r>
    </w:p>
    <w:p>
      <w:pPr>
        <w:pStyle w:val="ListParagraph"/>
        <w:numPr>
          <w:ilvl w:val="0"/>
          <w:numId w:val="6"/>
        </w:numPr>
        <w:spacing w:after="100" w:line="276"/>
      </w:pPr>
      <w:r>
        <w:rPr>
          <w:rFonts w:ascii="Calibri" w:cs="Calibri" w:eastAsia="Calibri" w:hAnsi="Calibri"/>
          <w:color w:val="1A1A1A"/>
          <w:sz w:val="21"/>
          <w:szCs w:val="21"/>
        </w:rPr>
        <w:t xml:space="preserve">I will protect Confidential Information during and after my time with the Company, and I understand this includes student, parent, and customer personal data (§5).</w:t>
      </w:r>
    </w:p>
    <w:p>
      <w:pPr>
        <w:pStyle w:val="ListParagraph"/>
        <w:numPr>
          <w:ilvl w:val="0"/>
          <w:numId w:val="6"/>
        </w:numPr>
        <w:spacing w:after="100" w:line="276"/>
      </w:pPr>
      <w:r>
        <w:rPr>
          <w:rFonts w:ascii="Calibri" w:cs="Calibri" w:eastAsia="Calibri" w:hAnsi="Calibri"/>
          <w:color w:val="1A1A1A"/>
          <w:sz w:val="21"/>
          <w:szCs w:val="21"/>
        </w:rPr>
        <w:t xml:space="preserve">I understand the eight data protection principles the Company follows under the Data Protection Act, 2020, and I will report a suspected data breach within 24 hours (§6).</w:t>
      </w:r>
    </w:p>
    <w:p>
      <w:pPr>
        <w:pStyle w:val="ListParagraph"/>
        <w:numPr>
          <w:ilvl w:val="0"/>
          <w:numId w:val="6"/>
        </w:numPr>
        <w:spacing w:after="100" w:line="276"/>
      </w:pPr>
      <w:r>
        <w:rPr>
          <w:rFonts w:ascii="Calibri" w:cs="Calibri" w:eastAsia="Calibri" w:hAnsi="Calibri"/>
          <w:color w:val="1A1A1A"/>
          <w:sz w:val="21"/>
          <w:szCs w:val="21"/>
        </w:rPr>
        <w:t xml:space="preserve">I will use Company systems and data only for legitimate business purposes, and I will not export, copy, or share customer or student data outside approved systems (§7).</w:t>
      </w:r>
    </w:p>
    <w:p>
      <w:pPr>
        <w:pStyle w:val="ListParagraph"/>
        <w:numPr>
          <w:ilvl w:val="0"/>
          <w:numId w:val="6"/>
        </w:numPr>
        <w:spacing w:after="100" w:line="276"/>
      </w:pPr>
      <w:r>
        <w:rPr>
          <w:rFonts w:ascii="Calibri" w:cs="Calibri" w:eastAsia="Calibri" w:hAnsi="Calibri"/>
          <w:color w:val="1A1A1A"/>
          <w:sz w:val="21"/>
          <w:szCs w:val="21"/>
        </w:rPr>
        <w:t xml:space="preserve">I will follow basic information security practices — strong passwords, MFA, locked screens, and reporting phishing (§8).</w:t>
      </w:r>
    </w:p>
    <w:p>
      <w:pPr>
        <w:pStyle w:val="ListParagraph"/>
        <w:numPr>
          <w:ilvl w:val="0"/>
          <w:numId w:val="6"/>
        </w:numPr>
        <w:spacing w:after="100" w:line="276"/>
      </w:pPr>
      <w:r>
        <w:rPr>
          <w:rFonts w:ascii="Calibri" w:cs="Calibri" w:eastAsia="Calibri" w:hAnsi="Calibri"/>
          <w:color w:val="1A1A1A"/>
          <w:sz w:val="21"/>
          <w:szCs w:val="21"/>
        </w:rPr>
        <w:t xml:space="preserve">I will not harass or discriminate against anyone, and I understand the specific safeguarding rules that apply to any interaction with a student (§9).</w:t>
      </w:r>
    </w:p>
    <w:p>
      <w:pPr>
        <w:pStyle w:val="ListParagraph"/>
        <w:numPr>
          <w:ilvl w:val="0"/>
          <w:numId w:val="6"/>
        </w:numPr>
        <w:spacing w:after="100" w:line="276"/>
      </w:pPr>
      <w:r>
        <w:rPr>
          <w:rFonts w:ascii="Calibri" w:cs="Calibri" w:eastAsia="Calibri" w:hAnsi="Calibri"/>
          <w:color w:val="1A1A1A"/>
          <w:sz w:val="21"/>
          <w:szCs w:val="21"/>
        </w:rPr>
        <w:t xml:space="preserve">I understand the leave, discipline, and termination policies that apply to my engagement type (§10).</w:t>
      </w:r>
    </w:p>
    <w:p>
      <w:pPr>
        <w:spacing w:after="120"/>
      </w:pPr>
    </w:p>
    <w:p>
      <w:pPr>
        <w:pStyle w:val="Heading3"/>
        <w:spacing w:after="120" w:before="260"/>
      </w:pPr>
      <w:r>
        <w:rPr>
          <w:rFonts w:ascii="Calibri" w:cs="Calibri" w:eastAsia="Calibri" w:hAnsi="Calibri"/>
          <w:b/>
          <w:bCs/>
          <w:i w:val="false"/>
          <w:iCs w:val="false"/>
          <w:color w:val="1D6B45"/>
          <w:sz w:val="23"/>
          <w:szCs w:val="23"/>
        </w:rPr>
        <w:t xml:space="preserve">Role-specific (complete the box(es) that apply to you)</w:t>
      </w:r>
    </w:p>
    <w:p>
      <w:pPr>
        <w:pStyle w:val="ListParagraph"/>
        <w:numPr>
          <w:ilvl w:val="0"/>
          <w:numId w:val="6"/>
        </w:numPr>
        <w:spacing w:after="100" w:line="276"/>
      </w:pPr>
      <w:r>
        <w:rPr>
          <w:rFonts w:ascii="Calibri" w:cs="Calibri" w:eastAsia="Calibri" w:hAnsi="Calibri"/>
          <w:color w:val="1A1A1A"/>
          <w:sz w:val="21"/>
          <w:szCs w:val="21"/>
        </w:rPr>
        <w:t xml:space="preserve">Sales: I will represent EduJA honestly, never request payment credentials directly, and route payment/refund questions to Administration (§13).</w:t>
      </w:r>
    </w:p>
    <w:p>
      <w:pPr>
        <w:pStyle w:val="ListParagraph"/>
        <w:numPr>
          <w:ilvl w:val="0"/>
          <w:numId w:val="6"/>
        </w:numPr>
        <w:spacing w:after="100" w:line="276"/>
      </w:pPr>
      <w:r>
        <w:rPr>
          <w:rFonts w:ascii="Calibri" w:cs="Calibri" w:eastAsia="Calibri" w:hAnsi="Calibri"/>
          <w:color w:val="1A1A1A"/>
          <w:sz w:val="21"/>
          <w:szCs w:val="21"/>
        </w:rPr>
        <w:t xml:space="preserve">Admin: I will verify payments before activating access and access customer records only for a legitimate business reason (§14).</w:t>
      </w:r>
    </w:p>
    <w:p>
      <w:pPr>
        <w:pStyle w:val="ListParagraph"/>
        <w:numPr>
          <w:ilvl w:val="0"/>
          <w:numId w:val="6"/>
        </w:numPr>
        <w:spacing w:after="100" w:line="276"/>
      </w:pPr>
      <w:r>
        <w:rPr>
          <w:rFonts w:ascii="Calibri" w:cs="Calibri" w:eastAsia="Calibri" w:hAnsi="Calibri"/>
          <w:color w:val="1A1A1A"/>
          <w:sz w:val="21"/>
          <w:szCs w:val="21"/>
        </w:rPr>
        <w:t xml:space="preserve">Teachers: I will keep all student contact on the platform, personally review every AI-drafted question before release, and report safeguarding concerns immediately (§15).</w:t>
      </w:r>
    </w:p>
    <w:p>
      <w:r>
        <w:br w:type="page"/>
      </w:r>
    </w:p>
    <w:p>
      <w:pPr>
        <w:pStyle w:val="Heading2"/>
        <w:spacing w:after="160" w:before="360"/>
      </w:pPr>
      <w:r>
        <w:rPr>
          <w:rFonts w:ascii="Cambria" w:cs="Cambria" w:eastAsia="Cambria" w:hAnsi="Cambria"/>
          <w:b/>
          <w:bCs/>
          <w:color w:val="1A1A1A"/>
          <w:sz w:val="25"/>
          <w:szCs w:val="25"/>
        </w:rPr>
        <w:t xml:space="preserve">17. Employee / Contractor Acknowledgment &amp; Compliance Statement</w:t>
      </w:r>
    </w:p>
    <w:tbl>
      <w:tblPr>
        <w:tblW w:type="dxa" w:w="9350"/>
        <w:tblBorders>
          <w:top w:val="single" w:color="9A6B00" w:sz="4"/>
          <w:left w:val="single" w:color="9A6B00" w:sz="24"/>
          <w:bottom w:val="single" w:color="9A6B00" w:sz="4"/>
          <w:right w:val="single" w:color="9A6B00" w:sz="4"/>
          <w:insideH w:val="none" w:color="FFFFFF" w:sz="0"/>
          <w:insideV w:val="none" w:color="FFFFFF" w:sz="0"/>
        </w:tblBorders>
      </w:tblPr>
      <w:tblGrid>
        <w:gridCol w:w="9350"/>
      </w:tblGrid>
      <w:tr>
        <w:tc>
          <w:tcPr>
            <w:tcW w:type="dxa" w:w="9350"/>
            <w:shd w:fill="FBF3DF" w:color="auto" w:val="clear"/>
            <w:tcMar>
              <w:top w:type="dxa" w:w="160"/>
              <w:left w:type="dxa" w:w="220"/>
              <w:bottom w:type="dxa" w:w="160"/>
              <w:right w:type="dxa" w:w="220"/>
            </w:tcMar>
          </w:tcPr>
          <w:p>
            <w:pPr>
              <w:spacing w:after="80"/>
            </w:pPr>
            <w:r>
              <w:rPr>
                <w:rFonts w:ascii="Calibri" w:cs="Calibri" w:eastAsia="Calibri" w:hAnsi="Calibri"/>
                <w:b/>
                <w:bCs/>
                <w:color w:val="9A6B00"/>
                <w:sz w:val="21"/>
                <w:szCs w:val="21"/>
              </w:rPr>
              <w:t xml:space="preserve">Please read carefully before signing</w:t>
            </w:r>
          </w:p>
          <w:p>
            <w:pPr>
              <w:spacing w:after="80" w:line="264"/>
            </w:pPr>
            <w:r>
              <w:rPr>
                <w:rFonts w:ascii="Calibri" w:cs="Calibri" w:eastAsia="Calibri" w:hAnsi="Calibri"/>
                <w:color w:val="1A1A1A"/>
                <w:sz w:val="20"/>
                <w:szCs w:val="20"/>
              </w:rPr>
              <w:t xml:space="preserve">By signing below, you are making a binding commitment to the Company. Do not sign until you have read this handbook in full and asked any questions you have.</w:t>
            </w:r>
          </w:p>
        </w:tc>
      </w:tr>
    </w:tbl>
    <w:p>
      <w:pPr>
        <w:spacing w:after="160"/>
      </w:pPr>
    </w:p>
    <w:p>
      <w:pPr>
        <w:spacing w:after="160" w:line="276"/>
        <w:jc w:val="both"/>
      </w:pPr>
      <w:r>
        <w:rPr>
          <w:rFonts w:ascii="Calibri" w:cs="Calibri" w:eastAsia="Calibri" w:hAnsi="Calibri"/>
          <w:b w:val="false"/>
          <w:bCs w:val="false"/>
          <w:i w:val="false"/>
          <w:iCs w:val="false"/>
          <w:color w:val="1A1A1A"/>
          <w:sz w:val="21"/>
          <w:szCs w:val="21"/>
        </w:rPr>
        <w:t xml:space="preserve">I confirm that:</w:t>
      </w:r>
    </w:p>
    <w:p>
      <w:pPr>
        <w:pStyle w:val="ListParagraph"/>
        <w:numPr>
          <w:ilvl w:val="0"/>
          <w:numId w:val="8"/>
        </w:numPr>
        <w:spacing w:after="100" w:line="276"/>
      </w:pPr>
      <w:r>
        <w:rPr>
          <w:rFonts w:ascii="Calibri" w:cs="Calibri" w:eastAsia="Calibri" w:hAnsi="Calibri"/>
          <w:color w:val="1A1A1A"/>
          <w:sz w:val="21"/>
          <w:szCs w:val="21"/>
        </w:rPr>
        <w:t xml:space="preserve">I have received, read, and understood the EduJA Staff Handbook (this document), including Part II (Company-Wide Policies, including the Confidentiality &amp; Non-Disclosure obligations in §5 and the Data Privacy &amp; Protection Policy in §6) and the Part III training module(s) applicable to my role.</w:t>
      </w:r>
    </w:p>
    <w:p>
      <w:pPr>
        <w:pStyle w:val="ListParagraph"/>
        <w:numPr>
          <w:ilvl w:val="0"/>
          <w:numId w:val="8"/>
        </w:numPr>
        <w:spacing w:after="100" w:line="276"/>
      </w:pPr>
      <w:r>
        <w:rPr>
          <w:rFonts w:ascii="Calibri" w:cs="Calibri" w:eastAsia="Calibri" w:hAnsi="Calibri"/>
          <w:color w:val="1A1A1A"/>
          <w:sz w:val="21"/>
          <w:szCs w:val="21"/>
        </w:rPr>
        <w:t xml:space="preserve">I agree to comply with all policies in this handbook for as long as I am engaged by Ohana Jamaica Limited, and I understand that the confidentiality obligations in §5 continue after my engagement ends.</w:t>
      </w:r>
    </w:p>
    <w:p>
      <w:pPr>
        <w:pStyle w:val="ListParagraph"/>
        <w:numPr>
          <w:ilvl w:val="0"/>
          <w:numId w:val="8"/>
        </w:numPr>
        <w:spacing w:after="100" w:line="276"/>
      </w:pPr>
      <w:r>
        <w:rPr>
          <w:rFonts w:ascii="Calibri" w:cs="Calibri" w:eastAsia="Calibri" w:hAnsi="Calibri"/>
          <w:color w:val="1A1A1A"/>
          <w:sz w:val="21"/>
          <w:szCs w:val="21"/>
        </w:rPr>
        <w:t xml:space="preserve">I understand that a violation of this handbook may result in disciplinary action up to and including termination of my employment or engagement, and, in the case of a serious breach of confidentiality or data protection obligations, may expose me to legal liability.</w:t>
      </w:r>
    </w:p>
    <w:p>
      <w:pPr>
        <w:pStyle w:val="ListParagraph"/>
        <w:numPr>
          <w:ilvl w:val="0"/>
          <w:numId w:val="8"/>
        </w:numPr>
        <w:spacing w:after="100" w:line="276"/>
      </w:pPr>
      <w:r>
        <w:rPr>
          <w:rFonts w:ascii="Calibri" w:cs="Calibri" w:eastAsia="Calibri" w:hAnsi="Calibri"/>
          <w:color w:val="1A1A1A"/>
          <w:sz w:val="21"/>
          <w:szCs w:val="21"/>
        </w:rPr>
        <w:t xml:space="preserve">I understand this handbook may be updated from time to time (§3), that I will be notified of material changes, and that I agree to review and re-acknowledge updated versions when asked to do so.</w:t>
      </w:r>
    </w:p>
    <w:p>
      <w:pPr>
        <w:pStyle w:val="ListParagraph"/>
        <w:numPr>
          <w:ilvl w:val="0"/>
          <w:numId w:val="8"/>
        </w:numPr>
        <w:spacing w:after="100" w:line="276"/>
      </w:pPr>
      <w:r>
        <w:rPr>
          <w:rFonts w:ascii="Calibri" w:cs="Calibri" w:eastAsia="Calibri" w:hAnsi="Calibri"/>
          <w:color w:val="1A1A1A"/>
          <w:sz w:val="21"/>
          <w:szCs w:val="21"/>
        </w:rPr>
        <w:t xml:space="preserve">I have had the opportunity to ask questions about anything in this handbook I did not understand.</w:t>
      </w:r>
    </w:p>
    <w:p>
      <w:pPr>
        <w:spacing w:after="200"/>
      </w:pPr>
    </w:p>
    <w:p>
      <w:pPr>
        <w:pBdr>
          <w:bottom w:val="single" w:color="1A1A1A" w:sz="6" w:space="1"/>
        </w:pBdr>
        <w:tabs>
          <w:tab w:val="right" w:pos="9350"/>
        </w:tabs>
        <w:spacing w:after="40" w:before="260"/>
      </w:pPr>
      <w:r>
        <w:rPr>
          <w:rFonts w:ascii="Calibri" w:cs="Calibri" w:eastAsia="Calibri" w:hAnsi="Calibri"/>
          <w:sz w:val="21"/>
          <w:szCs w:val="21"/>
        </w:rPr>
        <w:t xml:space="preserve"> </w:t>
      </w:r>
    </w:p>
    <w:p>
      <w:pPr>
        <w:spacing w:after="200"/>
      </w:pPr>
      <w:r>
        <w:rPr>
          <w:rFonts w:ascii="Calibri" w:cs="Calibri" w:eastAsia="Calibri" w:hAnsi="Calibri"/>
          <w:i/>
          <w:iCs/>
          <w:color w:val="444444"/>
          <w:sz w:val="17"/>
          <w:szCs w:val="17"/>
        </w:rPr>
        <w:t xml:space="preserve">Staff Member — Printed Name</w:t>
      </w:r>
    </w:p>
    <w:p>
      <w:pPr>
        <w:pBdr>
          <w:bottom w:val="single" w:color="1A1A1A" w:sz="6" w:space="1"/>
        </w:pBdr>
        <w:tabs>
          <w:tab w:val="right" w:pos="9350"/>
        </w:tabs>
        <w:spacing w:after="40" w:before="260"/>
      </w:pPr>
      <w:r>
        <w:rPr>
          <w:rFonts w:ascii="Calibri" w:cs="Calibri" w:eastAsia="Calibri" w:hAnsi="Calibri"/>
          <w:sz w:val="21"/>
          <w:szCs w:val="21"/>
        </w:rPr>
        <w:t xml:space="preserve"> </w:t>
      </w:r>
    </w:p>
    <w:p>
      <w:pPr>
        <w:spacing w:after="200"/>
      </w:pPr>
      <w:r>
        <w:rPr>
          <w:rFonts w:ascii="Calibri" w:cs="Calibri" w:eastAsia="Calibri" w:hAnsi="Calibri"/>
          <w:i/>
          <w:iCs/>
          <w:color w:val="444444"/>
          <w:sz w:val="17"/>
          <w:szCs w:val="17"/>
        </w:rPr>
        <w:t xml:space="preserve">Role  (circle one: Sales Associate  /  Administrative Staff  /  Teacher  /  Other: ______________)</w:t>
      </w:r>
    </w:p>
    <w:p>
      <w:pPr>
        <w:pBdr>
          <w:bottom w:val="single" w:color="1A1A1A" w:sz="6" w:space="1"/>
        </w:pBdr>
        <w:tabs>
          <w:tab w:val="right" w:pos="9350"/>
        </w:tabs>
        <w:spacing w:after="40" w:before="260"/>
      </w:pPr>
      <w:r>
        <w:rPr>
          <w:rFonts w:ascii="Calibri" w:cs="Calibri" w:eastAsia="Calibri" w:hAnsi="Calibri"/>
          <w:sz w:val="21"/>
          <w:szCs w:val="21"/>
        </w:rPr>
        <w:t xml:space="preserve"> </w:t>
      </w:r>
    </w:p>
    <w:p>
      <w:pPr>
        <w:spacing w:after="200"/>
      </w:pPr>
      <w:r>
        <w:rPr>
          <w:rFonts w:ascii="Calibri" w:cs="Calibri" w:eastAsia="Calibri" w:hAnsi="Calibri"/>
          <w:i/>
          <w:iCs/>
          <w:color w:val="444444"/>
          <w:sz w:val="17"/>
          <w:szCs w:val="17"/>
        </w:rPr>
        <w:t xml:space="preserve">Signature</w:t>
      </w:r>
    </w:p>
    <w:p>
      <w:pPr>
        <w:pBdr>
          <w:bottom w:val="single" w:color="1A1A1A" w:sz="6" w:space="1"/>
        </w:pBdr>
        <w:tabs>
          <w:tab w:val="right" w:pos="9350"/>
        </w:tabs>
        <w:spacing w:after="40" w:before="260"/>
      </w:pPr>
      <w:r>
        <w:rPr>
          <w:rFonts w:ascii="Calibri" w:cs="Calibri" w:eastAsia="Calibri" w:hAnsi="Calibri"/>
          <w:sz w:val="21"/>
          <w:szCs w:val="21"/>
        </w:rPr>
        <w:t xml:space="preserve"> </w:t>
      </w:r>
    </w:p>
    <w:p>
      <w:pPr>
        <w:spacing w:after="200"/>
      </w:pPr>
      <w:r>
        <w:rPr>
          <w:rFonts w:ascii="Calibri" w:cs="Calibri" w:eastAsia="Calibri" w:hAnsi="Calibri"/>
          <w:i/>
          <w:iCs/>
          <w:color w:val="444444"/>
          <w:sz w:val="17"/>
          <w:szCs w:val="17"/>
        </w:rPr>
        <w:t xml:space="preserve">Date</w:t>
      </w:r>
    </w:p>
    <w:p>
      <w:r>
        <w:br w:type="page"/>
      </w:r>
    </w:p>
    <w:p>
      <w:pPr>
        <w:pStyle w:val="Heading2"/>
        <w:spacing w:after="160" w:before="360"/>
      </w:pPr>
      <w:r>
        <w:rPr>
          <w:rFonts w:ascii="Cambria" w:cs="Cambria" w:eastAsia="Cambria" w:hAnsi="Cambria"/>
          <w:b/>
          <w:bCs/>
          <w:color w:val="1A1A1A"/>
          <w:sz w:val="25"/>
          <w:szCs w:val="25"/>
        </w:rPr>
        <w:t xml:space="preserve">18. Confidentiality &amp; Non-Disclosure — Separate Counter-Signature</w:t>
      </w:r>
    </w:p>
    <w:p>
      <w:pPr>
        <w:spacing w:after="160" w:line="276"/>
        <w:jc w:val="both"/>
      </w:pPr>
      <w:r>
        <w:rPr>
          <w:rFonts w:ascii="Calibri" w:cs="Calibri" w:eastAsia="Calibri" w:hAnsi="Calibri"/>
          <w:b w:val="false"/>
          <w:bCs w:val="false"/>
          <w:i w:val="false"/>
          <w:iCs w:val="false"/>
          <w:color w:val="1A1A1A"/>
          <w:sz w:val="21"/>
          <w:szCs w:val="21"/>
        </w:rPr>
        <w:t xml:space="preserve">Because confidentiality is one of the most important protections in this handbook, it is acknowledged a second time here, specifically.</w:t>
      </w:r>
    </w:p>
    <w:p>
      <w:pPr>
        <w:spacing w:after="160" w:line="276"/>
        <w:jc w:val="both"/>
      </w:pPr>
      <w:r>
        <w:rPr>
          <w:rFonts w:ascii="Calibri" w:cs="Calibri" w:eastAsia="Calibri" w:hAnsi="Calibri"/>
          <w:b w:val="false"/>
          <w:bCs w:val="false"/>
          <w:i w:val="false"/>
          <w:iCs w:val="false"/>
          <w:color w:val="1A1A1A"/>
          <w:sz w:val="21"/>
          <w:szCs w:val="21"/>
        </w:rPr>
        <w:t xml:space="preserve">I separately acknowledge and agree to the Confidentiality &amp; Non-Disclosure obligations set out in full in §5 of this handbook, including: the definition of Confidential Information; my obligation to use it only for Company business; my obligation not to disclose it to anyone without authorization; my obligation to return or delete it on request or on separation; and that these obligations continue after my engagement with the Company ends.</w:t>
      </w:r>
    </w:p>
    <w:p>
      <w:pPr>
        <w:spacing w:after="200"/>
      </w:pPr>
    </w:p>
    <w:p>
      <w:pPr>
        <w:pBdr>
          <w:bottom w:val="single" w:color="1A1A1A" w:sz="6" w:space="1"/>
        </w:pBdr>
        <w:tabs>
          <w:tab w:val="right" w:pos="9350"/>
        </w:tabs>
        <w:spacing w:after="40" w:before="260"/>
      </w:pPr>
      <w:r>
        <w:rPr>
          <w:rFonts w:ascii="Calibri" w:cs="Calibri" w:eastAsia="Calibri" w:hAnsi="Calibri"/>
          <w:sz w:val="21"/>
          <w:szCs w:val="21"/>
        </w:rPr>
        <w:t xml:space="preserve"> </w:t>
      </w:r>
    </w:p>
    <w:p>
      <w:pPr>
        <w:spacing w:after="200"/>
      </w:pPr>
      <w:r>
        <w:rPr>
          <w:rFonts w:ascii="Calibri" w:cs="Calibri" w:eastAsia="Calibri" w:hAnsi="Calibri"/>
          <w:i/>
          <w:iCs/>
          <w:color w:val="444444"/>
          <w:sz w:val="17"/>
          <w:szCs w:val="17"/>
        </w:rPr>
        <w:t xml:space="preserve">Staff Member — Printed Name</w:t>
      </w:r>
    </w:p>
    <w:p>
      <w:pPr>
        <w:pBdr>
          <w:bottom w:val="single" w:color="1A1A1A" w:sz="6" w:space="1"/>
        </w:pBdr>
        <w:tabs>
          <w:tab w:val="right" w:pos="9350"/>
        </w:tabs>
        <w:spacing w:after="40" w:before="260"/>
      </w:pPr>
      <w:r>
        <w:rPr>
          <w:rFonts w:ascii="Calibri" w:cs="Calibri" w:eastAsia="Calibri" w:hAnsi="Calibri"/>
          <w:sz w:val="21"/>
          <w:szCs w:val="21"/>
        </w:rPr>
        <w:t xml:space="preserve"> </w:t>
      </w:r>
    </w:p>
    <w:p>
      <w:pPr>
        <w:spacing w:after="200"/>
      </w:pPr>
      <w:r>
        <w:rPr>
          <w:rFonts w:ascii="Calibri" w:cs="Calibri" w:eastAsia="Calibri" w:hAnsi="Calibri"/>
          <w:i/>
          <w:iCs/>
          <w:color w:val="444444"/>
          <w:sz w:val="17"/>
          <w:szCs w:val="17"/>
        </w:rPr>
        <w:t xml:space="preserve">Role  (circle one: Sales Associate  /  Administrative Staff  /  Teacher  /  Other: ______________)</w:t>
      </w:r>
    </w:p>
    <w:p>
      <w:pPr>
        <w:pBdr>
          <w:bottom w:val="single" w:color="1A1A1A" w:sz="6" w:space="1"/>
        </w:pBdr>
        <w:tabs>
          <w:tab w:val="right" w:pos="9350"/>
        </w:tabs>
        <w:spacing w:after="40" w:before="260"/>
      </w:pPr>
      <w:r>
        <w:rPr>
          <w:rFonts w:ascii="Calibri" w:cs="Calibri" w:eastAsia="Calibri" w:hAnsi="Calibri"/>
          <w:sz w:val="21"/>
          <w:szCs w:val="21"/>
        </w:rPr>
        <w:t xml:space="preserve"> </w:t>
      </w:r>
    </w:p>
    <w:p>
      <w:pPr>
        <w:spacing w:after="200"/>
      </w:pPr>
      <w:r>
        <w:rPr>
          <w:rFonts w:ascii="Calibri" w:cs="Calibri" w:eastAsia="Calibri" w:hAnsi="Calibri"/>
          <w:i/>
          <w:iCs/>
          <w:color w:val="444444"/>
          <w:sz w:val="17"/>
          <w:szCs w:val="17"/>
        </w:rPr>
        <w:t xml:space="preserve">Signature</w:t>
      </w:r>
    </w:p>
    <w:p>
      <w:pPr>
        <w:pBdr>
          <w:bottom w:val="single" w:color="1A1A1A" w:sz="6" w:space="1"/>
        </w:pBdr>
        <w:tabs>
          <w:tab w:val="right" w:pos="9350"/>
        </w:tabs>
        <w:spacing w:after="40" w:before="260"/>
      </w:pPr>
      <w:r>
        <w:rPr>
          <w:rFonts w:ascii="Calibri" w:cs="Calibri" w:eastAsia="Calibri" w:hAnsi="Calibri"/>
          <w:sz w:val="21"/>
          <w:szCs w:val="21"/>
        </w:rPr>
        <w:t xml:space="preserve"> </w:t>
      </w:r>
    </w:p>
    <w:p>
      <w:pPr>
        <w:spacing w:after="200"/>
      </w:pPr>
      <w:r>
        <w:rPr>
          <w:rFonts w:ascii="Calibri" w:cs="Calibri" w:eastAsia="Calibri" w:hAnsi="Calibri"/>
          <w:i/>
          <w:iCs/>
          <w:color w:val="444444"/>
          <w:sz w:val="17"/>
          <w:szCs w:val="17"/>
        </w:rPr>
        <w:t xml:space="preserve">Date</w:t>
      </w:r>
    </w:p>
    <w:p>
      <w:r>
        <w:br w:type="page"/>
      </w:r>
    </w:p>
    <w:p>
      <w:pPr>
        <w:pStyle w:val="Heading2"/>
        <w:spacing w:after="160" w:before="360"/>
      </w:pPr>
      <w:r>
        <w:rPr>
          <w:rFonts w:ascii="Cambria" w:cs="Cambria" w:eastAsia="Cambria" w:hAnsi="Cambria"/>
          <w:b/>
          <w:bCs/>
          <w:color w:val="1A1A1A"/>
          <w:sz w:val="25"/>
          <w:szCs w:val="25"/>
        </w:rPr>
        <w:t xml:space="preserve">19. Periodic Re-Acknowledgment Tracking</w:t>
      </w:r>
    </w:p>
    <w:p>
      <w:pPr>
        <w:spacing w:after="160" w:line="276"/>
        <w:jc w:val="both"/>
      </w:pPr>
      <w:r>
        <w:rPr>
          <w:rFonts w:ascii="Calibri" w:cs="Calibri" w:eastAsia="Calibri" w:hAnsi="Calibri"/>
          <w:b w:val="false"/>
          <w:bCs w:val="false"/>
          <w:i w:val="false"/>
          <w:iCs w:val="false"/>
          <w:color w:val="1A1A1A"/>
          <w:sz w:val="21"/>
          <w:szCs w:val="21"/>
        </w:rPr>
        <w:t xml:space="preserve">This table is maintained by the Company to record each time a staff member re-acknowledges the handbook following a material update (see §3).</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50"/>
        <w:gridCol w:w="2600"/>
        <w:gridCol w:w="3600"/>
      </w:tblGrid>
      <w:tr>
        <w:tc>
          <w:tcPr>
            <w:tcW w:type="dxa" w:w="3150"/>
            <w:shd w:fill="14532D" w:color="auto" w:val="clear"/>
            <w:tcMar>
              <w:top w:type="dxa" w:w="90"/>
              <w:left w:type="dxa" w:w="120"/>
              <w:bottom w:type="dxa" w:w="90"/>
              <w:right w:type="dxa" w:w="120"/>
            </w:tcMar>
          </w:tcPr>
          <w:p>
            <w:r>
              <w:rPr>
                <w:rFonts w:ascii="Calibri" w:cs="Calibri" w:eastAsia="Calibri" w:hAnsi="Calibri"/>
                <w:b/>
                <w:bCs/>
                <w:color w:val="FFFFFF"/>
                <w:sz w:val="19"/>
                <w:szCs w:val="19"/>
              </w:rPr>
              <w:t xml:space="preserve">Handbook version acknowledged</w:t>
            </w:r>
          </w:p>
        </w:tc>
        <w:tc>
          <w:tcPr>
            <w:tcW w:type="dxa" w:w="2600"/>
            <w:shd w:fill="14532D" w:color="auto" w:val="clear"/>
            <w:tcMar>
              <w:top w:type="dxa" w:w="90"/>
              <w:left w:type="dxa" w:w="120"/>
              <w:bottom w:type="dxa" w:w="90"/>
              <w:right w:type="dxa" w:w="120"/>
            </w:tcMar>
          </w:tcPr>
          <w:p>
            <w:r>
              <w:rPr>
                <w:rFonts w:ascii="Calibri" w:cs="Calibri" w:eastAsia="Calibri" w:hAnsi="Calibri"/>
                <w:b/>
                <w:bCs/>
                <w:color w:val="FFFFFF"/>
                <w:sz w:val="19"/>
                <w:szCs w:val="19"/>
              </w:rPr>
              <w:t xml:space="preserve">Date signed</w:t>
            </w:r>
          </w:p>
        </w:tc>
        <w:tc>
          <w:tcPr>
            <w:tcW w:type="dxa" w:w="3600"/>
            <w:shd w:fill="14532D" w:color="auto" w:val="clear"/>
            <w:tcMar>
              <w:top w:type="dxa" w:w="90"/>
              <w:left w:type="dxa" w:w="120"/>
              <w:bottom w:type="dxa" w:w="90"/>
              <w:right w:type="dxa" w:w="120"/>
            </w:tcMar>
          </w:tcPr>
          <w:p>
            <w:r>
              <w:rPr>
                <w:rFonts w:ascii="Calibri" w:cs="Calibri" w:eastAsia="Calibri" w:hAnsi="Calibri"/>
                <w:b/>
                <w:bCs/>
                <w:color w:val="FFFFFF"/>
                <w:sz w:val="19"/>
                <w:szCs w:val="19"/>
              </w:rPr>
              <w:t xml:space="preserve">Staff signature (or file reference)</w:t>
            </w:r>
          </w:p>
        </w:tc>
      </w:tr>
      <w:tr>
        <w:tc>
          <w:tcPr>
            <w:tcW w:type="dxa" w:w="3150"/>
            <w:tcMar>
              <w:top w:type="dxa" w:w="90"/>
              <w:left w:type="dxa" w:w="120"/>
              <w:bottom w:type="dxa" w:w="90"/>
              <w:right w:type="dxa" w:w="120"/>
            </w:tcMar>
          </w:tcPr>
          <w:p>
            <w:r>
              <w:rPr>
                <w:rFonts w:ascii="Calibri" w:cs="Calibri" w:eastAsia="Calibri" w:hAnsi="Calibri"/>
                <w:b w:val="false"/>
                <w:bCs w:val="false"/>
                <w:color w:val="1A1A1A"/>
                <w:sz w:val="19"/>
                <w:szCs w:val="19"/>
              </w:rPr>
              <w:t xml:space="preserve">1.0</w:t>
            </w:r>
          </w:p>
        </w:tc>
        <w:tc>
          <w:tcPr>
            <w:tcW w:type="dxa" w:w="2600"/>
            <w:tcMar>
              <w:top w:type="dxa" w:w="90"/>
              <w:left w:type="dxa" w:w="120"/>
              <w:bottom w:type="dxa" w:w="90"/>
              <w:right w:type="dxa" w:w="120"/>
            </w:tcMar>
          </w:tcPr>
          <w:p>
            <w:r>
              <w:rPr>
                <w:rFonts w:ascii="Calibri" w:cs="Calibri" w:eastAsia="Calibri" w:hAnsi="Calibri"/>
                <w:b w:val="false"/>
                <w:bCs w:val="false"/>
                <w:color w:val="1A1A1A"/>
                <w:sz w:val="19"/>
                <w:szCs w:val="19"/>
              </w:rPr>
              <w:t xml:space="preserve"/>
            </w:r>
          </w:p>
        </w:tc>
        <w:tc>
          <w:tcPr>
            <w:tcW w:type="dxa" w:w="3600"/>
            <w:tcMar>
              <w:top w:type="dxa" w:w="90"/>
              <w:left w:type="dxa" w:w="120"/>
              <w:bottom w:type="dxa" w:w="90"/>
              <w:right w:type="dxa" w:w="120"/>
            </w:tcMar>
          </w:tcPr>
          <w:p>
            <w:r>
              <w:rPr>
                <w:rFonts w:ascii="Calibri" w:cs="Calibri" w:eastAsia="Calibri" w:hAnsi="Calibri"/>
                <w:b w:val="false"/>
                <w:bCs w:val="false"/>
                <w:color w:val="1A1A1A"/>
                <w:sz w:val="19"/>
                <w:szCs w:val="19"/>
              </w:rPr>
              <w:t xml:space="preserve"/>
            </w:r>
          </w:p>
        </w:tc>
      </w:tr>
      <w:tr>
        <w:tc>
          <w:tcPr>
            <w:tcW w:type="dxa" w:w="3150"/>
            <w:shd w:fill="F5F8F6" w:color="auto" w:val="clear"/>
            <w:tcMar>
              <w:top w:type="dxa" w:w="90"/>
              <w:left w:type="dxa" w:w="120"/>
              <w:bottom w:type="dxa" w:w="90"/>
              <w:right w:type="dxa" w:w="120"/>
            </w:tcMar>
          </w:tcPr>
          <w:p>
            <w:r>
              <w:rPr>
                <w:rFonts w:ascii="Calibri" w:cs="Calibri" w:eastAsia="Calibri" w:hAnsi="Calibri"/>
                <w:b w:val="false"/>
                <w:bCs w:val="false"/>
                <w:color w:val="1A1A1A"/>
                <w:sz w:val="19"/>
                <w:szCs w:val="19"/>
              </w:rPr>
              <w:t xml:space="preserve"/>
            </w:r>
          </w:p>
        </w:tc>
        <w:tc>
          <w:tcPr>
            <w:tcW w:type="dxa" w:w="2600"/>
            <w:shd w:fill="F5F8F6" w:color="auto" w:val="clear"/>
            <w:tcMar>
              <w:top w:type="dxa" w:w="90"/>
              <w:left w:type="dxa" w:w="120"/>
              <w:bottom w:type="dxa" w:w="90"/>
              <w:right w:type="dxa" w:w="120"/>
            </w:tcMar>
          </w:tcPr>
          <w:p>
            <w:r>
              <w:rPr>
                <w:rFonts w:ascii="Calibri" w:cs="Calibri" w:eastAsia="Calibri" w:hAnsi="Calibri"/>
                <w:b w:val="false"/>
                <w:bCs w:val="false"/>
                <w:color w:val="1A1A1A"/>
                <w:sz w:val="19"/>
                <w:szCs w:val="19"/>
              </w:rPr>
              <w:t xml:space="preserve"/>
            </w:r>
          </w:p>
        </w:tc>
        <w:tc>
          <w:tcPr>
            <w:tcW w:type="dxa" w:w="3600"/>
            <w:shd w:fill="F5F8F6" w:color="auto" w:val="clear"/>
            <w:tcMar>
              <w:top w:type="dxa" w:w="90"/>
              <w:left w:type="dxa" w:w="120"/>
              <w:bottom w:type="dxa" w:w="90"/>
              <w:right w:type="dxa" w:w="120"/>
            </w:tcMar>
          </w:tcPr>
          <w:p>
            <w:r>
              <w:rPr>
                <w:rFonts w:ascii="Calibri" w:cs="Calibri" w:eastAsia="Calibri" w:hAnsi="Calibri"/>
                <w:b w:val="false"/>
                <w:bCs w:val="false"/>
                <w:color w:val="1A1A1A"/>
                <w:sz w:val="19"/>
                <w:szCs w:val="19"/>
              </w:rPr>
              <w:t xml:space="preserve"/>
            </w:r>
          </w:p>
        </w:tc>
      </w:tr>
      <w:tr>
        <w:tc>
          <w:tcPr>
            <w:tcW w:type="dxa" w:w="3150"/>
            <w:tcMar>
              <w:top w:type="dxa" w:w="90"/>
              <w:left w:type="dxa" w:w="120"/>
              <w:bottom w:type="dxa" w:w="90"/>
              <w:right w:type="dxa" w:w="120"/>
            </w:tcMar>
          </w:tcPr>
          <w:p>
            <w:r>
              <w:rPr>
                <w:rFonts w:ascii="Calibri" w:cs="Calibri" w:eastAsia="Calibri" w:hAnsi="Calibri"/>
                <w:b w:val="false"/>
                <w:bCs w:val="false"/>
                <w:color w:val="1A1A1A"/>
                <w:sz w:val="19"/>
                <w:szCs w:val="19"/>
              </w:rPr>
              <w:t xml:space="preserve"/>
            </w:r>
          </w:p>
        </w:tc>
        <w:tc>
          <w:tcPr>
            <w:tcW w:type="dxa" w:w="2600"/>
            <w:tcMar>
              <w:top w:type="dxa" w:w="90"/>
              <w:left w:type="dxa" w:w="120"/>
              <w:bottom w:type="dxa" w:w="90"/>
              <w:right w:type="dxa" w:w="120"/>
            </w:tcMar>
          </w:tcPr>
          <w:p>
            <w:r>
              <w:rPr>
                <w:rFonts w:ascii="Calibri" w:cs="Calibri" w:eastAsia="Calibri" w:hAnsi="Calibri"/>
                <w:b w:val="false"/>
                <w:bCs w:val="false"/>
                <w:color w:val="1A1A1A"/>
                <w:sz w:val="19"/>
                <w:szCs w:val="19"/>
              </w:rPr>
              <w:t xml:space="preserve"/>
            </w:r>
          </w:p>
        </w:tc>
        <w:tc>
          <w:tcPr>
            <w:tcW w:type="dxa" w:w="3600"/>
            <w:tcMar>
              <w:top w:type="dxa" w:w="90"/>
              <w:left w:type="dxa" w:w="120"/>
              <w:bottom w:type="dxa" w:w="90"/>
              <w:right w:type="dxa" w:w="120"/>
            </w:tcMar>
          </w:tcPr>
          <w:p>
            <w:r>
              <w:rPr>
                <w:rFonts w:ascii="Calibri" w:cs="Calibri" w:eastAsia="Calibri" w:hAnsi="Calibri"/>
                <w:b w:val="false"/>
                <w:bCs w:val="false"/>
                <w:color w:val="1A1A1A"/>
                <w:sz w:val="19"/>
                <w:szCs w:val="19"/>
              </w:rPr>
              <w:t xml:space="preserve"/>
            </w:r>
          </w:p>
        </w:tc>
      </w:tr>
      <w:tr>
        <w:tc>
          <w:tcPr>
            <w:tcW w:type="dxa" w:w="3150"/>
            <w:shd w:fill="F5F8F6" w:color="auto" w:val="clear"/>
            <w:tcMar>
              <w:top w:type="dxa" w:w="90"/>
              <w:left w:type="dxa" w:w="120"/>
              <w:bottom w:type="dxa" w:w="90"/>
              <w:right w:type="dxa" w:w="120"/>
            </w:tcMar>
          </w:tcPr>
          <w:p>
            <w:r>
              <w:rPr>
                <w:rFonts w:ascii="Calibri" w:cs="Calibri" w:eastAsia="Calibri" w:hAnsi="Calibri"/>
                <w:b w:val="false"/>
                <w:bCs w:val="false"/>
                <w:color w:val="1A1A1A"/>
                <w:sz w:val="19"/>
                <w:szCs w:val="19"/>
              </w:rPr>
              <w:t xml:space="preserve"/>
            </w:r>
          </w:p>
        </w:tc>
        <w:tc>
          <w:tcPr>
            <w:tcW w:type="dxa" w:w="2600"/>
            <w:shd w:fill="F5F8F6" w:color="auto" w:val="clear"/>
            <w:tcMar>
              <w:top w:type="dxa" w:w="90"/>
              <w:left w:type="dxa" w:w="120"/>
              <w:bottom w:type="dxa" w:w="90"/>
              <w:right w:type="dxa" w:w="120"/>
            </w:tcMar>
          </w:tcPr>
          <w:p>
            <w:r>
              <w:rPr>
                <w:rFonts w:ascii="Calibri" w:cs="Calibri" w:eastAsia="Calibri" w:hAnsi="Calibri"/>
                <w:b w:val="false"/>
                <w:bCs w:val="false"/>
                <w:color w:val="1A1A1A"/>
                <w:sz w:val="19"/>
                <w:szCs w:val="19"/>
              </w:rPr>
              <w:t xml:space="preserve"/>
            </w:r>
          </w:p>
        </w:tc>
        <w:tc>
          <w:tcPr>
            <w:tcW w:type="dxa" w:w="3600"/>
            <w:shd w:fill="F5F8F6" w:color="auto" w:val="clear"/>
            <w:tcMar>
              <w:top w:type="dxa" w:w="90"/>
              <w:left w:type="dxa" w:w="120"/>
              <w:bottom w:type="dxa" w:w="90"/>
              <w:right w:type="dxa" w:w="120"/>
            </w:tcMar>
          </w:tcPr>
          <w:p>
            <w:r>
              <w:rPr>
                <w:rFonts w:ascii="Calibri" w:cs="Calibri" w:eastAsia="Calibri" w:hAnsi="Calibri"/>
                <w:b w:val="false"/>
                <w:bCs w:val="false"/>
                <w:color w:val="1A1A1A"/>
                <w:sz w:val="19"/>
                <w:szCs w:val="19"/>
              </w:rPr>
              <w:t xml:space="preserve"/>
            </w:r>
          </w:p>
        </w:tc>
      </w:tr>
    </w:tbl>
    <w:p>
      <w:r>
        <w:br w:type="page"/>
      </w:r>
    </w:p>
    <w:p>
      <w:pPr>
        <w:pStyle w:val="Heading2"/>
        <w:spacing w:after="160" w:before="360"/>
      </w:pPr>
      <w:r>
        <w:rPr>
          <w:rFonts w:ascii="Cambria" w:cs="Cambria" w:eastAsia="Cambria" w:hAnsi="Cambria"/>
          <w:b/>
          <w:bCs/>
          <w:color w:val="1A1A1A"/>
          <w:sz w:val="25"/>
          <w:szCs w:val="25"/>
        </w:rPr>
        <w:t xml:space="preserve">20. Approval</w:t>
      </w:r>
    </w:p>
    <w:p>
      <w:pPr>
        <w:spacing w:after="160" w:line="276"/>
        <w:jc w:val="both"/>
      </w:pPr>
      <w:r>
        <w:rPr>
          <w:rFonts w:ascii="Calibri" w:cs="Calibri" w:eastAsia="Calibri" w:hAnsi="Calibri"/>
          <w:b w:val="false"/>
          <w:bCs w:val="false"/>
          <w:i w:val="false"/>
          <w:iCs w:val="false"/>
          <w:color w:val="1A1A1A"/>
          <w:sz w:val="21"/>
          <w:szCs w:val="21"/>
        </w:rPr>
        <w:t xml:space="preserve">This handbook, Version 1.6, is approved for issue to all staff of Ohana Jamaica Limited effective October 6, 2026.</w:t>
      </w:r>
    </w:p>
    <w:p>
      <w:pPr>
        <w:spacing w:after="300"/>
      </w:pPr>
    </w:p>
    <w:p>
      <w:pPr>
        <w:pBdr>
          <w:bottom w:val="single" w:color="1A1A1A" w:sz="6" w:space="1"/>
        </w:pBdr>
        <w:tabs>
          <w:tab w:val="right" w:pos="9350"/>
        </w:tabs>
        <w:spacing w:after="40" w:before="260"/>
      </w:pPr>
      <w:r>
        <w:rPr>
          <w:rFonts w:ascii="Calibri" w:cs="Calibri" w:eastAsia="Calibri" w:hAnsi="Calibri"/>
          <w:sz w:val="21"/>
          <w:szCs w:val="21"/>
        </w:rPr>
        <w:t xml:space="preserve"> </w:t>
      </w:r>
    </w:p>
    <w:p>
      <w:pPr>
        <w:spacing w:after="200"/>
      </w:pPr>
      <w:r>
        <w:rPr>
          <w:rFonts w:ascii="Calibri" w:cs="Calibri" w:eastAsia="Calibri" w:hAnsi="Calibri"/>
          <w:i/>
          <w:iCs/>
          <w:color w:val="444444"/>
          <w:sz w:val="17"/>
          <w:szCs w:val="17"/>
        </w:rPr>
        <w:t xml:space="preserve">Staff Member — Printed Name</w:t>
      </w:r>
    </w:p>
    <w:p>
      <w:pPr>
        <w:pBdr>
          <w:bottom w:val="single" w:color="1A1A1A" w:sz="6" w:space="1"/>
        </w:pBdr>
        <w:tabs>
          <w:tab w:val="right" w:pos="9350"/>
        </w:tabs>
        <w:spacing w:after="40" w:before="260"/>
      </w:pPr>
      <w:r>
        <w:rPr>
          <w:rFonts w:ascii="Calibri" w:cs="Calibri" w:eastAsia="Calibri" w:hAnsi="Calibri"/>
          <w:sz w:val="21"/>
          <w:szCs w:val="21"/>
        </w:rPr>
        <w:t xml:space="preserve"> </w:t>
      </w:r>
    </w:p>
    <w:p>
      <w:pPr>
        <w:spacing w:after="200"/>
      </w:pPr>
      <w:r>
        <w:rPr>
          <w:rFonts w:ascii="Calibri" w:cs="Calibri" w:eastAsia="Calibri" w:hAnsi="Calibri"/>
          <w:i/>
          <w:iCs/>
          <w:color w:val="444444"/>
          <w:sz w:val="17"/>
          <w:szCs w:val="17"/>
        </w:rPr>
        <w:t xml:space="preserve">Role  (circle one: Sales Associate  /  Administrative Staff  /  Teacher  /  Other: ______________)</w:t>
      </w:r>
    </w:p>
    <w:p>
      <w:pPr>
        <w:pBdr>
          <w:bottom w:val="single" w:color="1A1A1A" w:sz="6" w:space="1"/>
        </w:pBdr>
        <w:tabs>
          <w:tab w:val="right" w:pos="9350"/>
        </w:tabs>
        <w:spacing w:after="40" w:before="260"/>
      </w:pPr>
      <w:r>
        <w:rPr>
          <w:rFonts w:ascii="Calibri" w:cs="Calibri" w:eastAsia="Calibri" w:hAnsi="Calibri"/>
          <w:sz w:val="21"/>
          <w:szCs w:val="21"/>
        </w:rPr>
        <w:t xml:space="preserve"> </w:t>
      </w:r>
    </w:p>
    <w:p>
      <w:pPr>
        <w:spacing w:after="200"/>
      </w:pPr>
      <w:r>
        <w:rPr>
          <w:rFonts w:ascii="Calibri" w:cs="Calibri" w:eastAsia="Calibri" w:hAnsi="Calibri"/>
          <w:i/>
          <w:iCs/>
          <w:color w:val="444444"/>
          <w:sz w:val="17"/>
          <w:szCs w:val="17"/>
        </w:rPr>
        <w:t xml:space="preserve">Signature</w:t>
      </w:r>
    </w:p>
    <w:p>
      <w:pPr>
        <w:pBdr>
          <w:bottom w:val="single" w:color="1A1A1A" w:sz="6" w:space="1"/>
        </w:pBdr>
        <w:tabs>
          <w:tab w:val="right" w:pos="9350"/>
        </w:tabs>
        <w:spacing w:after="40" w:before="260"/>
      </w:pPr>
      <w:r>
        <w:rPr>
          <w:rFonts w:ascii="Calibri" w:cs="Calibri" w:eastAsia="Calibri" w:hAnsi="Calibri"/>
          <w:sz w:val="21"/>
          <w:szCs w:val="21"/>
        </w:rPr>
        <w:t xml:space="preserve"> </w:t>
      </w:r>
    </w:p>
    <w:p>
      <w:pPr>
        <w:spacing w:after="200"/>
      </w:pPr>
      <w:r>
        <w:rPr>
          <w:rFonts w:ascii="Calibri" w:cs="Calibri" w:eastAsia="Calibri" w:hAnsi="Calibri"/>
          <w:i/>
          <w:iCs/>
          <w:color w:val="444444"/>
          <w:sz w:val="17"/>
          <w:szCs w:val="17"/>
        </w:rPr>
        <w:t xml:space="preserve">Date</w:t>
      </w:r>
    </w:p>
    <w:p>
      <w:pPr>
        <w:spacing w:before="80"/>
      </w:pPr>
      <w:r>
        <w:rPr>
          <w:rFonts w:ascii="Calibri" w:cs="Calibri" w:eastAsia="Calibri" w:hAnsi="Calibri"/>
          <w:b/>
          <w:bCs/>
          <w:color w:val="1A1A1A"/>
          <w:sz w:val="21"/>
          <w:szCs w:val="21"/>
        </w:rPr>
        <w:t xml:space="preserve">George E. Morgan</w:t>
      </w:r>
    </w:p>
    <w:p>
      <w:r>
        <w:rPr>
          <w:rFonts w:ascii="Calibri" w:cs="Calibri" w:eastAsia="Calibri" w:hAnsi="Calibri"/>
          <w:color w:val="444444"/>
          <w:sz w:val="19"/>
          <w:szCs w:val="19"/>
        </w:rPr>
        <w:t xml:space="preserve">President &amp; Chief Executive Officer, Ohana Jamaica Limited</w:t>
      </w:r>
    </w:p>
    <w:p>
      <w:r>
        <w:br w:type="page"/>
      </w:r>
    </w:p>
    <w:p>
      <w:pPr>
        <w:pStyle w:val="Heading1"/>
        <w:pBdr>
          <w:bottom w:val="single" w:color="14532D" w:sz="8" w:space="6"/>
        </w:pBdr>
        <w:spacing w:after="240" w:before="480"/>
      </w:pPr>
      <w:r>
        <w:rPr>
          <w:rFonts w:ascii="Cambria" w:cs="Cambria" w:eastAsia="Cambria" w:hAnsi="Cambria"/>
          <w:b/>
          <w:bCs/>
          <w:color w:val="14532D"/>
          <w:sz w:val="32"/>
          <w:szCs w:val="32"/>
        </w:rPr>
        <w:t xml:space="preserve">APPENDICES</w:t>
      </w:r>
    </w:p>
    <w:p>
      <w:pPr>
        <w:pStyle w:val="Heading2"/>
        <w:spacing w:after="160" w:before="360"/>
      </w:pPr>
      <w:r>
        <w:rPr>
          <w:rFonts w:ascii="Cambria" w:cs="Cambria" w:eastAsia="Cambria" w:hAnsi="Cambria"/>
          <w:b/>
          <w:bCs/>
          <w:color w:val="1A1A1A"/>
          <w:sz w:val="25"/>
          <w:szCs w:val="25"/>
        </w:rPr>
        <w:t xml:space="preserve">Appendix A — Quick-Reference Contact Directory</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4200"/>
        <w:gridCol w:w="5150"/>
      </w:tblGrid>
      <w:tr>
        <w:tc>
          <w:tcPr>
            <w:tcW w:type="dxa" w:w="4200"/>
            <w:shd w:fill="14532D" w:color="auto" w:val="clear"/>
            <w:tcMar>
              <w:top w:type="dxa" w:w="90"/>
              <w:left w:type="dxa" w:w="120"/>
              <w:bottom w:type="dxa" w:w="90"/>
              <w:right w:type="dxa" w:w="120"/>
            </w:tcMar>
          </w:tcPr>
          <w:p>
            <w:r>
              <w:rPr>
                <w:rFonts w:ascii="Calibri" w:cs="Calibri" w:eastAsia="Calibri" w:hAnsi="Calibri"/>
                <w:b/>
                <w:bCs/>
                <w:color w:val="FFFFFF"/>
                <w:sz w:val="19"/>
                <w:szCs w:val="19"/>
              </w:rPr>
              <w:t xml:space="preserve">Purpose</w:t>
            </w:r>
          </w:p>
        </w:tc>
        <w:tc>
          <w:tcPr>
            <w:tcW w:type="dxa" w:w="5150"/>
            <w:shd w:fill="14532D" w:color="auto" w:val="clear"/>
            <w:tcMar>
              <w:top w:type="dxa" w:w="90"/>
              <w:left w:type="dxa" w:w="120"/>
              <w:bottom w:type="dxa" w:w="90"/>
              <w:right w:type="dxa" w:w="120"/>
            </w:tcMar>
          </w:tcPr>
          <w:p>
            <w:r>
              <w:rPr>
                <w:rFonts w:ascii="Calibri" w:cs="Calibri" w:eastAsia="Calibri" w:hAnsi="Calibri"/>
                <w:b/>
                <w:bCs/>
                <w:color w:val="FFFFFF"/>
                <w:sz w:val="19"/>
                <w:szCs w:val="19"/>
              </w:rPr>
              <w:t xml:space="preserve">Contact</w:t>
            </w:r>
          </w:p>
        </w:tc>
      </w:tr>
      <w:tr>
        <w:tc>
          <w:tcPr>
            <w:tcW w:type="dxa" w:w="4200"/>
            <w:tcMar>
              <w:top w:type="dxa" w:w="90"/>
              <w:left w:type="dxa" w:w="120"/>
              <w:bottom w:type="dxa" w:w="90"/>
              <w:right w:type="dxa" w:w="120"/>
            </w:tcMar>
          </w:tcPr>
          <w:p>
            <w:r>
              <w:rPr>
                <w:rFonts w:ascii="Calibri" w:cs="Calibri" w:eastAsia="Calibri" w:hAnsi="Calibri"/>
                <w:b w:val="false"/>
                <w:bCs w:val="false"/>
                <w:color w:val="1A1A1A"/>
                <w:sz w:val="19"/>
                <w:szCs w:val="19"/>
              </w:rPr>
              <w:t xml:space="preserve">General support / customer contact</w:t>
            </w:r>
          </w:p>
        </w:tc>
        <w:tc>
          <w:tcPr>
            <w:tcW w:type="dxa" w:w="5150"/>
            <w:tcMar>
              <w:top w:type="dxa" w:w="90"/>
              <w:left w:type="dxa" w:w="120"/>
              <w:bottom w:type="dxa" w:w="90"/>
              <w:right w:type="dxa" w:w="120"/>
            </w:tcMar>
          </w:tcPr>
          <w:p>
            <w:r>
              <w:rPr>
                <w:rFonts w:ascii="Calibri" w:cs="Calibri" w:eastAsia="Calibri" w:hAnsi="Calibri"/>
                <w:b w:val="false"/>
                <w:bCs w:val="false"/>
                <w:color w:val="1A1A1A"/>
                <w:sz w:val="19"/>
                <w:szCs w:val="19"/>
              </w:rPr>
              <w:t xml:space="preserve">info.team@eduja.org</w:t>
            </w:r>
          </w:p>
        </w:tc>
      </w:tr>
      <w:tr>
        <w:tc>
          <w:tcPr>
            <w:tcW w:type="dxa" w:w="4200"/>
            <w:shd w:fill="F5F8F6" w:color="auto" w:val="clear"/>
            <w:tcMar>
              <w:top w:type="dxa" w:w="90"/>
              <w:left w:type="dxa" w:w="120"/>
              <w:bottom w:type="dxa" w:w="90"/>
              <w:right w:type="dxa" w:w="120"/>
            </w:tcMar>
          </w:tcPr>
          <w:p>
            <w:r>
              <w:rPr>
                <w:rFonts w:ascii="Calibri" w:cs="Calibri" w:eastAsia="Calibri" w:hAnsi="Calibri"/>
                <w:b w:val="false"/>
                <w:bCs w:val="false"/>
                <w:color w:val="1A1A1A"/>
                <w:sz w:val="19"/>
                <w:szCs w:val="19"/>
              </w:rPr>
              <w:t xml:space="preserve">Technical support &amp; account help</w:t>
            </w:r>
          </w:p>
        </w:tc>
        <w:tc>
          <w:tcPr>
            <w:tcW w:type="dxa" w:w="5150"/>
            <w:shd w:fill="F5F8F6" w:color="auto" w:val="clear"/>
            <w:tcMar>
              <w:top w:type="dxa" w:w="90"/>
              <w:left w:type="dxa" w:w="120"/>
              <w:bottom w:type="dxa" w:w="90"/>
              <w:right w:type="dxa" w:w="120"/>
            </w:tcMar>
          </w:tcPr>
          <w:p>
            <w:r>
              <w:rPr>
                <w:rFonts w:ascii="Calibri" w:cs="Calibri" w:eastAsia="Calibri" w:hAnsi="Calibri"/>
                <w:b w:val="false"/>
                <w:bCs w:val="false"/>
                <w:color w:val="1A1A1A"/>
                <w:sz w:val="19"/>
                <w:szCs w:val="19"/>
              </w:rPr>
              <w:t xml:space="preserve">support.team@eduja.org</w:t>
            </w:r>
          </w:p>
        </w:tc>
      </w:tr>
      <w:tr>
        <w:tc>
          <w:tcPr>
            <w:tcW w:type="dxa" w:w="4200"/>
            <w:tcMar>
              <w:top w:type="dxa" w:w="90"/>
              <w:left w:type="dxa" w:w="120"/>
              <w:bottom w:type="dxa" w:w="90"/>
              <w:right w:type="dxa" w:w="120"/>
            </w:tcMar>
          </w:tcPr>
          <w:p>
            <w:r>
              <w:rPr>
                <w:rFonts w:ascii="Calibri" w:cs="Calibri" w:eastAsia="Calibri" w:hAnsi="Calibri"/>
                <w:b w:val="false"/>
                <w:bCs w:val="false"/>
                <w:color w:val="1A1A1A"/>
                <w:sz w:val="19"/>
                <w:szCs w:val="19"/>
              </w:rPr>
              <w:t xml:space="preserve">Billing, payroll &amp; accounts questions</w:t>
            </w:r>
          </w:p>
        </w:tc>
        <w:tc>
          <w:tcPr>
            <w:tcW w:type="dxa" w:w="5150"/>
            <w:tcMar>
              <w:top w:type="dxa" w:w="90"/>
              <w:left w:type="dxa" w:w="120"/>
              <w:bottom w:type="dxa" w:w="90"/>
              <w:right w:type="dxa" w:w="120"/>
            </w:tcMar>
          </w:tcPr>
          <w:p>
            <w:r>
              <w:rPr>
                <w:rFonts w:ascii="Calibri" w:cs="Calibri" w:eastAsia="Calibri" w:hAnsi="Calibri"/>
                <w:b w:val="false"/>
                <w:bCs w:val="false"/>
                <w:color w:val="1A1A1A"/>
                <w:sz w:val="19"/>
                <w:szCs w:val="19"/>
              </w:rPr>
              <w:t xml:space="preserve">support.team@eduja.org</w:t>
            </w:r>
          </w:p>
        </w:tc>
      </w:tr>
      <w:tr>
        <w:tc>
          <w:tcPr>
            <w:tcW w:type="dxa" w:w="4200"/>
            <w:shd w:fill="F5F8F6" w:color="auto" w:val="clear"/>
            <w:tcMar>
              <w:top w:type="dxa" w:w="90"/>
              <w:left w:type="dxa" w:w="120"/>
              <w:bottom w:type="dxa" w:w="90"/>
              <w:right w:type="dxa" w:w="120"/>
            </w:tcMar>
          </w:tcPr>
          <w:p>
            <w:r>
              <w:rPr>
                <w:rFonts w:ascii="Calibri" w:cs="Calibri" w:eastAsia="Calibri" w:hAnsi="Calibri"/>
                <w:b w:val="false"/>
                <w:bCs w:val="false"/>
                <w:color w:val="1A1A1A"/>
                <w:sz w:val="19"/>
                <w:szCs w:val="19"/>
              </w:rPr>
              <w:t xml:space="preserve">WhatsApp support line</w:t>
            </w:r>
          </w:p>
        </w:tc>
        <w:tc>
          <w:tcPr>
            <w:tcW w:type="dxa" w:w="5150"/>
            <w:shd w:fill="F5F8F6" w:color="auto" w:val="clear"/>
            <w:tcMar>
              <w:top w:type="dxa" w:w="90"/>
              <w:left w:type="dxa" w:w="120"/>
              <w:bottom w:type="dxa" w:w="90"/>
              <w:right w:type="dxa" w:w="120"/>
            </w:tcMar>
          </w:tcPr>
          <w:p>
            <w:r>
              <w:rPr>
                <w:rFonts w:ascii="Calibri" w:cs="Calibri" w:eastAsia="Calibri" w:hAnsi="Calibri"/>
                <w:b w:val="false"/>
                <w:bCs w:val="false"/>
                <w:color w:val="1A1A1A"/>
                <w:sz w:val="19"/>
                <w:szCs w:val="19"/>
              </w:rPr>
              <w:t xml:space="preserve">+1 (876) 772-4422</w:t>
            </w:r>
          </w:p>
        </w:tc>
      </w:tr>
      <w:tr>
        <w:tc>
          <w:tcPr>
            <w:tcW w:type="dxa" w:w="4200"/>
            <w:tcMar>
              <w:top w:type="dxa" w:w="90"/>
              <w:left w:type="dxa" w:w="120"/>
              <w:bottom w:type="dxa" w:w="90"/>
              <w:right w:type="dxa" w:w="120"/>
            </w:tcMar>
          </w:tcPr>
          <w:p>
            <w:r>
              <w:rPr>
                <w:rFonts w:ascii="Calibri" w:cs="Calibri" w:eastAsia="Calibri" w:hAnsi="Calibri"/>
                <w:b w:val="false"/>
                <w:bCs w:val="false"/>
                <w:color w:val="1A1A1A"/>
                <w:sz w:val="19"/>
                <w:szCs w:val="19"/>
              </w:rPr>
              <w:t xml:space="preserve">Report a safeguarding concern or urgent conduct issue</w:t>
            </w:r>
          </w:p>
        </w:tc>
        <w:tc>
          <w:tcPr>
            <w:tcW w:type="dxa" w:w="5150"/>
            <w:tcMar>
              <w:top w:type="dxa" w:w="90"/>
              <w:left w:type="dxa" w:w="120"/>
              <w:bottom w:type="dxa" w:w="90"/>
              <w:right w:type="dxa" w:w="120"/>
            </w:tcMar>
          </w:tcPr>
          <w:p>
            <w:r>
              <w:rPr>
                <w:rFonts w:ascii="Calibri" w:cs="Calibri" w:eastAsia="Calibri" w:hAnsi="Calibri"/>
                <w:b w:val="false"/>
                <w:bCs w:val="false"/>
                <w:color w:val="1A1A1A"/>
                <w:sz w:val="19"/>
                <w:szCs w:val="19"/>
              </w:rPr>
              <w:t xml:space="preserve">Your direct supervisor, or the CEO directly if the supervisor is unavailable or involved</w:t>
            </w:r>
          </w:p>
        </w:tc>
      </w:tr>
      <w:tr>
        <w:tc>
          <w:tcPr>
            <w:tcW w:type="dxa" w:w="4200"/>
            <w:shd w:fill="F5F8F6" w:color="auto" w:val="clear"/>
            <w:tcMar>
              <w:top w:type="dxa" w:w="90"/>
              <w:left w:type="dxa" w:w="120"/>
              <w:bottom w:type="dxa" w:w="90"/>
              <w:right w:type="dxa" w:w="120"/>
            </w:tcMar>
          </w:tcPr>
          <w:p>
            <w:r>
              <w:rPr>
                <w:rFonts w:ascii="Calibri" w:cs="Calibri" w:eastAsia="Calibri" w:hAnsi="Calibri"/>
                <w:b w:val="false"/>
                <w:bCs w:val="false"/>
                <w:color w:val="1A1A1A"/>
                <w:sz w:val="19"/>
                <w:szCs w:val="19"/>
              </w:rPr>
              <w:t xml:space="preserve">Report a suspected data breach</w:t>
            </w:r>
          </w:p>
        </w:tc>
        <w:tc>
          <w:tcPr>
            <w:tcW w:type="dxa" w:w="5150"/>
            <w:shd w:fill="F5F8F6" w:color="auto" w:val="clear"/>
            <w:tcMar>
              <w:top w:type="dxa" w:w="90"/>
              <w:left w:type="dxa" w:w="120"/>
              <w:bottom w:type="dxa" w:w="90"/>
              <w:right w:type="dxa" w:w="120"/>
            </w:tcMar>
          </w:tcPr>
          <w:p>
            <w:r>
              <w:rPr>
                <w:rFonts w:ascii="Calibri" w:cs="Calibri" w:eastAsia="Calibri" w:hAnsi="Calibri"/>
                <w:b w:val="false"/>
                <w:bCs w:val="false"/>
                <w:color w:val="1A1A1A"/>
                <w:sz w:val="19"/>
                <w:szCs w:val="19"/>
              </w:rPr>
              <w:t xml:space="preserve">Your supervisor or the CEO — immediately, within 24 hours at the latest</w:t>
            </w:r>
          </w:p>
        </w:tc>
      </w:tr>
      <w:tr>
        <w:tc>
          <w:tcPr>
            <w:tcW w:type="dxa" w:w="4200"/>
            <w:tcMar>
              <w:top w:type="dxa" w:w="90"/>
              <w:left w:type="dxa" w:w="120"/>
              <w:bottom w:type="dxa" w:w="90"/>
              <w:right w:type="dxa" w:w="120"/>
            </w:tcMar>
          </w:tcPr>
          <w:p>
            <w:r>
              <w:rPr>
                <w:rFonts w:ascii="Calibri" w:cs="Calibri" w:eastAsia="Calibri" w:hAnsi="Calibri"/>
                <w:b w:val="false"/>
                <w:bCs w:val="false"/>
                <w:color w:val="1A1A1A"/>
                <w:sz w:val="19"/>
                <w:szCs w:val="19"/>
              </w:rPr>
              <w:t xml:space="preserve">Account/data access, correction, or deletion requests</w:t>
            </w:r>
          </w:p>
        </w:tc>
        <w:tc>
          <w:tcPr>
            <w:tcW w:type="dxa" w:w="5150"/>
            <w:tcMar>
              <w:top w:type="dxa" w:w="90"/>
              <w:left w:type="dxa" w:w="120"/>
              <w:bottom w:type="dxa" w:w="90"/>
              <w:right w:type="dxa" w:w="120"/>
            </w:tcMar>
          </w:tcPr>
          <w:p>
            <w:r>
              <w:rPr>
                <w:rFonts w:ascii="Calibri" w:cs="Calibri" w:eastAsia="Calibri" w:hAnsi="Calibri"/>
                <w:b w:val="false"/>
                <w:bCs w:val="false"/>
                <w:color w:val="1A1A1A"/>
                <w:sz w:val="19"/>
                <w:szCs w:val="19"/>
              </w:rPr>
              <w:t xml:space="preserve">eduja.org/delete-account.html, or Administration for anything not covered there</w:t>
            </w:r>
          </w:p>
        </w:tc>
      </w:tr>
      <w:tr>
        <w:tc>
          <w:tcPr>
            <w:tcW w:type="dxa" w:w="4200"/>
            <w:shd w:fill="F5F8F6" w:color="auto" w:val="clear"/>
            <w:tcMar>
              <w:top w:type="dxa" w:w="90"/>
              <w:left w:type="dxa" w:w="120"/>
              <w:bottom w:type="dxa" w:w="90"/>
              <w:right w:type="dxa" w:w="120"/>
            </w:tcMar>
          </w:tcPr>
          <w:p>
            <w:r>
              <w:rPr>
                <w:rFonts w:ascii="Calibri" w:cs="Calibri" w:eastAsia="Calibri" w:hAnsi="Calibri"/>
                <w:b w:val="false"/>
                <w:bCs w:val="false"/>
                <w:color w:val="1A1A1A"/>
                <w:sz w:val="19"/>
                <w:szCs w:val="19"/>
              </w:rPr>
              <w:t xml:space="preserve">Privacy Policy (full, current text)</w:t>
            </w:r>
          </w:p>
        </w:tc>
        <w:tc>
          <w:tcPr>
            <w:tcW w:type="dxa" w:w="5150"/>
            <w:shd w:fill="F5F8F6" w:color="auto" w:val="clear"/>
            <w:tcMar>
              <w:top w:type="dxa" w:w="90"/>
              <w:left w:type="dxa" w:w="120"/>
              <w:bottom w:type="dxa" w:w="90"/>
              <w:right w:type="dxa" w:w="120"/>
            </w:tcMar>
          </w:tcPr>
          <w:p>
            <w:r>
              <w:rPr>
                <w:rFonts w:ascii="Calibri" w:cs="Calibri" w:eastAsia="Calibri" w:hAnsi="Calibri"/>
                <w:b w:val="false"/>
                <w:bCs w:val="false"/>
                <w:color w:val="1A1A1A"/>
                <w:sz w:val="19"/>
                <w:szCs w:val="19"/>
              </w:rPr>
              <w:t xml:space="preserve">eduja.org/privacy-policy.html</w:t>
            </w:r>
          </w:p>
        </w:tc>
      </w:tr>
    </w:tbl>
    <w:p>
      <w:pPr>
        <w:pStyle w:val="Heading2"/>
        <w:spacing w:after="160" w:before="360"/>
      </w:pPr>
      <w:r>
        <w:rPr>
          <w:rFonts w:ascii="Cambria" w:cs="Cambria" w:eastAsia="Cambria" w:hAnsi="Cambria"/>
          <w:b/>
          <w:bCs/>
          <w:color w:val="1A1A1A"/>
          <w:sz w:val="25"/>
          <w:szCs w:val="25"/>
        </w:rPr>
        <w:t xml:space="preserve">Appendix B — Glossary</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200"/>
        <w:gridCol w:w="7150"/>
      </w:tblGrid>
      <w:tr>
        <w:tc>
          <w:tcPr>
            <w:tcW w:type="dxa" w:w="2200"/>
            <w:shd w:fill="14532D" w:color="auto" w:val="clear"/>
            <w:tcMar>
              <w:top w:type="dxa" w:w="90"/>
              <w:left w:type="dxa" w:w="120"/>
              <w:bottom w:type="dxa" w:w="90"/>
              <w:right w:type="dxa" w:w="120"/>
            </w:tcMar>
          </w:tcPr>
          <w:p>
            <w:r>
              <w:rPr>
                <w:rFonts w:ascii="Calibri" w:cs="Calibri" w:eastAsia="Calibri" w:hAnsi="Calibri"/>
                <w:b/>
                <w:bCs/>
                <w:color w:val="FFFFFF"/>
                <w:sz w:val="19"/>
                <w:szCs w:val="19"/>
              </w:rPr>
              <w:t xml:space="preserve">Term</w:t>
            </w:r>
          </w:p>
        </w:tc>
        <w:tc>
          <w:tcPr>
            <w:tcW w:type="dxa" w:w="7150"/>
            <w:shd w:fill="14532D" w:color="auto" w:val="clear"/>
            <w:tcMar>
              <w:top w:type="dxa" w:w="90"/>
              <w:left w:type="dxa" w:w="120"/>
              <w:bottom w:type="dxa" w:w="90"/>
              <w:right w:type="dxa" w:w="120"/>
            </w:tcMar>
          </w:tcPr>
          <w:p>
            <w:r>
              <w:rPr>
                <w:rFonts w:ascii="Calibri" w:cs="Calibri" w:eastAsia="Calibri" w:hAnsi="Calibri"/>
                <w:b/>
                <w:bCs/>
                <w:color w:val="FFFFFF"/>
                <w:sz w:val="19"/>
                <w:szCs w:val="19"/>
              </w:rPr>
              <w:t xml:space="preserve">Meaning</w:t>
            </w:r>
          </w:p>
        </w:tc>
      </w:tr>
      <w:tr>
        <w:tc>
          <w:tcPr>
            <w:tcW w:type="dxa" w:w="2200"/>
            <w:tcMar>
              <w:top w:type="dxa" w:w="90"/>
              <w:left w:type="dxa" w:w="120"/>
              <w:bottom w:type="dxa" w:w="90"/>
              <w:right w:type="dxa" w:w="120"/>
            </w:tcMar>
          </w:tcPr>
          <w:p>
            <w:r>
              <w:rPr>
                <w:rFonts w:ascii="Calibri" w:cs="Calibri" w:eastAsia="Calibri" w:hAnsi="Calibri"/>
                <w:b w:val="false"/>
                <w:bCs w:val="false"/>
                <w:color w:val="1A1A1A"/>
                <w:sz w:val="19"/>
                <w:szCs w:val="19"/>
              </w:rPr>
              <w:t xml:space="preserve">DPA</w:t>
            </w:r>
          </w:p>
        </w:tc>
        <w:tc>
          <w:tcPr>
            <w:tcW w:type="dxa" w:w="7150"/>
            <w:tcMar>
              <w:top w:type="dxa" w:w="90"/>
              <w:left w:type="dxa" w:w="120"/>
              <w:bottom w:type="dxa" w:w="90"/>
              <w:right w:type="dxa" w:w="120"/>
            </w:tcMar>
          </w:tcPr>
          <w:p>
            <w:r>
              <w:rPr>
                <w:rFonts w:ascii="Calibri" w:cs="Calibri" w:eastAsia="Calibri" w:hAnsi="Calibri"/>
                <w:b w:val="false"/>
                <w:bCs w:val="false"/>
                <w:color w:val="1A1A1A"/>
                <w:sz w:val="19"/>
                <w:szCs w:val="19"/>
              </w:rPr>
              <w:t xml:space="preserve">The Jamaica Data Protection Act, 2020 — the primary law governing how the Company must handle personal data.</w:t>
            </w:r>
          </w:p>
        </w:tc>
      </w:tr>
      <w:tr>
        <w:tc>
          <w:tcPr>
            <w:tcW w:type="dxa" w:w="2200"/>
            <w:shd w:fill="F5F8F6" w:color="auto" w:val="clear"/>
            <w:tcMar>
              <w:top w:type="dxa" w:w="90"/>
              <w:left w:type="dxa" w:w="120"/>
              <w:bottom w:type="dxa" w:w="90"/>
              <w:right w:type="dxa" w:w="120"/>
            </w:tcMar>
          </w:tcPr>
          <w:p>
            <w:r>
              <w:rPr>
                <w:rFonts w:ascii="Calibri" w:cs="Calibri" w:eastAsia="Calibri" w:hAnsi="Calibri"/>
                <w:b w:val="false"/>
                <w:bCs w:val="false"/>
                <w:color w:val="1A1A1A"/>
                <w:sz w:val="19"/>
                <w:szCs w:val="19"/>
              </w:rPr>
              <w:t xml:space="preserve">Data controller</w:t>
            </w:r>
          </w:p>
        </w:tc>
        <w:tc>
          <w:tcPr>
            <w:tcW w:type="dxa" w:w="7150"/>
            <w:shd w:fill="F5F8F6" w:color="auto" w:val="clear"/>
            <w:tcMar>
              <w:top w:type="dxa" w:w="90"/>
              <w:left w:type="dxa" w:w="120"/>
              <w:bottom w:type="dxa" w:w="90"/>
              <w:right w:type="dxa" w:w="120"/>
            </w:tcMar>
          </w:tcPr>
          <w:p>
            <w:r>
              <w:rPr>
                <w:rFonts w:ascii="Calibri" w:cs="Calibri" w:eastAsia="Calibri" w:hAnsi="Calibri"/>
                <w:b w:val="false"/>
                <w:bCs w:val="false"/>
                <w:color w:val="1A1A1A"/>
                <w:sz w:val="19"/>
                <w:szCs w:val="19"/>
              </w:rPr>
              <w:t xml:space="preserve">The party that decides why and how personal data is processed. Ohana Jamaica Limited is the data controller for EduJA's user data.</w:t>
            </w:r>
          </w:p>
        </w:tc>
      </w:tr>
      <w:tr>
        <w:tc>
          <w:tcPr>
            <w:tcW w:type="dxa" w:w="2200"/>
            <w:tcMar>
              <w:top w:type="dxa" w:w="90"/>
              <w:left w:type="dxa" w:w="120"/>
              <w:bottom w:type="dxa" w:w="90"/>
              <w:right w:type="dxa" w:w="120"/>
            </w:tcMar>
          </w:tcPr>
          <w:p>
            <w:r>
              <w:rPr>
                <w:rFonts w:ascii="Calibri" w:cs="Calibri" w:eastAsia="Calibri" w:hAnsi="Calibri"/>
                <w:b w:val="false"/>
                <w:bCs w:val="false"/>
                <w:color w:val="1A1A1A"/>
                <w:sz w:val="19"/>
                <w:szCs w:val="19"/>
              </w:rPr>
              <w:t xml:space="preserve">Data processor</w:t>
            </w:r>
          </w:p>
        </w:tc>
        <w:tc>
          <w:tcPr>
            <w:tcW w:type="dxa" w:w="7150"/>
            <w:tcMar>
              <w:top w:type="dxa" w:w="90"/>
              <w:left w:type="dxa" w:w="120"/>
              <w:bottom w:type="dxa" w:w="90"/>
              <w:right w:type="dxa" w:w="120"/>
            </w:tcMar>
          </w:tcPr>
          <w:p>
            <w:r>
              <w:rPr>
                <w:rFonts w:ascii="Calibri" w:cs="Calibri" w:eastAsia="Calibri" w:hAnsi="Calibri"/>
                <w:b w:val="false"/>
                <w:bCs w:val="false"/>
                <w:color w:val="1A1A1A"/>
                <w:sz w:val="19"/>
                <w:szCs w:val="19"/>
              </w:rPr>
              <w:t xml:space="preserve">A third-party service provider that processes personal data on the Company's behalf under instruction (e.g., Supabase, Netlify — see §6.3).</w:t>
            </w:r>
          </w:p>
        </w:tc>
      </w:tr>
      <w:tr>
        <w:tc>
          <w:tcPr>
            <w:tcW w:type="dxa" w:w="2200"/>
            <w:shd w:fill="F5F8F6" w:color="auto" w:val="clear"/>
            <w:tcMar>
              <w:top w:type="dxa" w:w="90"/>
              <w:left w:type="dxa" w:w="120"/>
              <w:bottom w:type="dxa" w:w="90"/>
              <w:right w:type="dxa" w:w="120"/>
            </w:tcMar>
          </w:tcPr>
          <w:p>
            <w:r>
              <w:rPr>
                <w:rFonts w:ascii="Calibri" w:cs="Calibri" w:eastAsia="Calibri" w:hAnsi="Calibri"/>
                <w:b w:val="false"/>
                <w:bCs w:val="false"/>
                <w:color w:val="1A1A1A"/>
                <w:sz w:val="19"/>
                <w:szCs w:val="19"/>
              </w:rPr>
              <w:t xml:space="preserve">Personal data</w:t>
            </w:r>
          </w:p>
        </w:tc>
        <w:tc>
          <w:tcPr>
            <w:tcW w:type="dxa" w:w="7150"/>
            <w:shd w:fill="F5F8F6" w:color="auto" w:val="clear"/>
            <w:tcMar>
              <w:top w:type="dxa" w:w="90"/>
              <w:left w:type="dxa" w:w="120"/>
              <w:bottom w:type="dxa" w:w="90"/>
              <w:right w:type="dxa" w:w="120"/>
            </w:tcMar>
          </w:tcPr>
          <w:p>
            <w:r>
              <w:rPr>
                <w:rFonts w:ascii="Calibri" w:cs="Calibri" w:eastAsia="Calibri" w:hAnsi="Calibri"/>
                <w:b w:val="false"/>
                <w:bCs w:val="false"/>
                <w:color w:val="1A1A1A"/>
                <w:sz w:val="19"/>
                <w:szCs w:val="19"/>
              </w:rPr>
              <w:t xml:space="preserve">Any information relating to an identified or identifiable individual — names, contact details, academic records, etc.</w:t>
            </w:r>
          </w:p>
        </w:tc>
      </w:tr>
      <w:tr>
        <w:tc>
          <w:tcPr>
            <w:tcW w:type="dxa" w:w="2200"/>
            <w:tcMar>
              <w:top w:type="dxa" w:w="90"/>
              <w:left w:type="dxa" w:w="120"/>
              <w:bottom w:type="dxa" w:w="90"/>
              <w:right w:type="dxa" w:w="120"/>
            </w:tcMar>
          </w:tcPr>
          <w:p>
            <w:r>
              <w:rPr>
                <w:rFonts w:ascii="Calibri" w:cs="Calibri" w:eastAsia="Calibri" w:hAnsi="Calibri"/>
                <w:b w:val="false"/>
                <w:bCs w:val="false"/>
                <w:color w:val="1A1A1A"/>
                <w:sz w:val="19"/>
                <w:szCs w:val="19"/>
              </w:rPr>
              <w:t xml:space="preserve">MOE</w:t>
            </w:r>
          </w:p>
        </w:tc>
        <w:tc>
          <w:tcPr>
            <w:tcW w:type="dxa" w:w="7150"/>
            <w:tcMar>
              <w:top w:type="dxa" w:w="90"/>
              <w:left w:type="dxa" w:w="120"/>
              <w:bottom w:type="dxa" w:w="90"/>
              <w:right w:type="dxa" w:w="120"/>
            </w:tcMar>
          </w:tcPr>
          <w:p>
            <w:r>
              <w:rPr>
                <w:rFonts w:ascii="Calibri" w:cs="Calibri" w:eastAsia="Calibri" w:hAnsi="Calibri"/>
                <w:b w:val="false"/>
                <w:bCs w:val="false"/>
                <w:color w:val="1A1A1A"/>
                <w:sz w:val="19"/>
                <w:szCs w:val="19"/>
              </w:rPr>
              <w:t xml:space="preserve">Jamaica's Ministry of Education, whose National Standards Curriculum EduJA's Grade 7–9 lessons are aligned to.</w:t>
            </w:r>
          </w:p>
        </w:tc>
      </w:tr>
      <w:tr>
        <w:tc>
          <w:tcPr>
            <w:tcW w:type="dxa" w:w="2200"/>
            <w:shd w:fill="F5F8F6" w:color="auto" w:val="clear"/>
            <w:tcMar>
              <w:top w:type="dxa" w:w="90"/>
              <w:left w:type="dxa" w:w="120"/>
              <w:bottom w:type="dxa" w:w="90"/>
              <w:right w:type="dxa" w:w="120"/>
            </w:tcMar>
          </w:tcPr>
          <w:p>
            <w:r>
              <w:rPr>
                <w:rFonts w:ascii="Calibri" w:cs="Calibri" w:eastAsia="Calibri" w:hAnsi="Calibri"/>
                <w:b w:val="false"/>
                <w:bCs w:val="false"/>
                <w:color w:val="1A1A1A"/>
                <w:sz w:val="19"/>
                <w:szCs w:val="19"/>
              </w:rPr>
              <w:t xml:space="preserve">TWA / portal</w:t>
            </w:r>
          </w:p>
        </w:tc>
        <w:tc>
          <w:tcPr>
            <w:tcW w:type="dxa" w:w="7150"/>
            <w:shd w:fill="F5F8F6" w:color="auto" w:val="clear"/>
            <w:tcMar>
              <w:top w:type="dxa" w:w="90"/>
              <w:left w:type="dxa" w:w="120"/>
              <w:bottom w:type="dxa" w:w="90"/>
              <w:right w:type="dxa" w:w="120"/>
            </w:tcMar>
          </w:tcPr>
          <w:p>
            <w:r>
              <w:rPr>
                <w:rFonts w:ascii="Calibri" w:cs="Calibri" w:eastAsia="Calibri" w:hAnsi="Calibri"/>
                <w:b w:val="false"/>
                <w:bCs w:val="false"/>
                <w:color w:val="1A1A1A"/>
                <w:sz w:val="19"/>
                <w:szCs w:val="19"/>
              </w:rPr>
              <w:t xml:space="preserve">The teacher and admin “portals” are the logged-in dashboards staff use inside EduJA to message students, manage bookings, and administer accounts.</w:t>
            </w:r>
          </w:p>
        </w:tc>
      </w:tr>
      <w:tr>
        <w:tc>
          <w:tcPr>
            <w:tcW w:type="dxa" w:w="2200"/>
            <w:tcMar>
              <w:top w:type="dxa" w:w="90"/>
              <w:left w:type="dxa" w:w="120"/>
              <w:bottom w:type="dxa" w:w="90"/>
              <w:right w:type="dxa" w:w="120"/>
            </w:tcMar>
          </w:tcPr>
          <w:p>
            <w:r>
              <w:rPr>
                <w:rFonts w:ascii="Calibri" w:cs="Calibri" w:eastAsia="Calibri" w:hAnsi="Calibri"/>
                <w:b w:val="false"/>
                <w:bCs w:val="false"/>
                <w:color w:val="1A1A1A"/>
                <w:sz w:val="19"/>
                <w:szCs w:val="19"/>
              </w:rPr>
              <w:t xml:space="preserve">Confidential Information</w:t>
            </w:r>
          </w:p>
        </w:tc>
        <w:tc>
          <w:tcPr>
            <w:tcW w:type="dxa" w:w="7150"/>
            <w:tcMar>
              <w:top w:type="dxa" w:w="90"/>
              <w:left w:type="dxa" w:w="120"/>
              <w:bottom w:type="dxa" w:w="90"/>
              <w:right w:type="dxa" w:w="120"/>
            </w:tcMar>
          </w:tcPr>
          <w:p>
            <w:r>
              <w:rPr>
                <w:rFonts w:ascii="Calibri" w:cs="Calibri" w:eastAsia="Calibri" w:hAnsi="Calibri"/>
                <w:b w:val="false"/>
                <w:bCs w:val="false"/>
                <w:color w:val="1A1A1A"/>
                <w:sz w:val="19"/>
                <w:szCs w:val="19"/>
              </w:rPr>
              <w:t xml:space="preserve">See the full definition in §5.1 — broadly, any non-public information you access through your work with the Company.</w:t>
            </w:r>
          </w:p>
        </w:tc>
      </w:tr>
    </w:tbl>
    <w:p>
      <w:pPr>
        <w:spacing w:after="300"/>
      </w:pPr>
    </w:p>
    <w:p>
      <w:pPr>
        <w:pBdr>
          <w:top w:val="single" w:color="14532D" w:sz="8" w:space="12"/>
        </w:pBdr>
        <w:spacing w:before="300"/>
        <w:jc w:val="center"/>
      </w:pPr>
      <w:r>
        <w:rPr>
          <w:rFonts w:ascii="Cambria" w:cs="Cambria" w:eastAsia="Cambria" w:hAnsi="Cambria"/>
          <w:i/>
          <w:iCs/>
          <w:color w:val="444444"/>
          <w:sz w:val="20"/>
          <w:szCs w:val="20"/>
        </w:rPr>
        <w:t xml:space="preserve">— End of Handbook —</w:t>
      </w:r>
    </w:p>
    <w:p>
      <w:pPr>
        <w:spacing w:before="80"/>
        <w:jc w:val="center"/>
      </w:pPr>
      <w:r>
        <w:rPr>
          <w:rFonts w:ascii="Calibri" w:cs="Calibri" w:eastAsia="Calibri" w:hAnsi="Calibri"/>
          <w:color w:val="444444"/>
          <w:sz w:val="16"/>
          <w:szCs w:val="16"/>
        </w:rPr>
        <w:t xml:space="preserve">EduJA Staff Handbook · Version 1.6 · Confidential — Internal Use Only</w:t>
      </w:r>
    </w:p>
    <w:sectPr>
      <w:headerReference w:type="default" r:id="rId7"/>
      <w:headerReference w:type="first" r:id="rId8"/>
      <w:footerReference w:type="default" r:id="rId9"/>
      <w:footerReference w:type="first" r:id="rId10"/>
      <w:pgSz w:w="11906" w:h="16838" w:orient="portrait"/>
      <w:pgMar w:top="1080" w:right="1080" w:bottom="1080" w:left="108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444444"/>
        <w:sz w:val="15"/>
        <w:szCs w:val="15"/>
      </w:rPr>
      <w:t xml:space="preserve">Ohana Jamaica Limited — EduJA   |   Page </w:t>
    </w:r>
    <w:r>
      <w:rPr>
        <w:rFonts w:ascii="Calibri" w:cs="Calibri" w:eastAsia="Calibri" w:hAnsi="Calibri"/>
        <w:color w:val="444444"/>
        <w:sz w:val="15"/>
        <w:szCs w:val="15"/>
      </w:rPr>
      <w:fldChar w:fldCharType="begin"/>
      <w:instrText xml:space="preserve">PAGE</w:instrText>
      <w:fldChar w:fldCharType="separate"/>
      <w:fldChar w:fldCharType="end"/>
    </w:r>
    <w:r>
      <w:rPr>
        <w:rFonts w:ascii="Calibri" w:cs="Calibri" w:eastAsia="Calibri" w:hAnsi="Calibri"/>
        <w:color w:val="444444"/>
        <w:sz w:val="15"/>
        <w:szCs w:val="15"/>
      </w:rPr>
      <w:t xml:space="preserve"> of </w:t>
    </w:r>
    <w:r>
      <w:rPr>
        <w:rFonts w:ascii="Calibri" w:cs="Calibri" w:eastAsia="Calibri" w:hAnsi="Calibri"/>
        <w:color w:val="444444"/>
        <w:sz w:val="15"/>
        <w:szCs w:val="15"/>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4532D" w:sz="4" w:space="4"/>
      </w:pBdr>
      <w:spacing w:after="0"/>
      <w:jc w:val="right"/>
    </w:pPr>
    <w:r>
      <w:rPr>
        <w:rFonts w:ascii="Calibri" w:cs="Calibri" w:eastAsia="Calibri" w:hAnsi="Calibri"/>
        <w:i/>
        <w:iCs/>
        <w:color w:val="444444"/>
        <w:sz w:val="15"/>
        <w:szCs w:val="15"/>
      </w:rPr>
      <w:t xml:space="preserve">EduJA Staff Handbook  ·  Confidential — Internal Use Only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lvl w:ilvl="1" w15:tentative="1">
      <w:start w:val="1"/>
      <w:numFmt w:val="bullet"/>
      <w:lvlText w:val="–"/>
      <w:lvlJc w:val="left"/>
      <w:pPr>
        <w:ind w:left="900" w:hanging="270"/>
      </w:pPr>
    </w:lvl>
  </w:abstractNum>
  <w:abstractNum w:abstractNumId="3" w15:restartNumberingAfterBreak="0">
    <w:multiLevelType w:val="hybridMultilevel"/>
    <w:lvl w:ilvl="0" w15:tentative="1">
      <w:start w:val="1"/>
      <w:numFmt w:val="bullet"/>
      <w:lvlText w:val="☐"/>
      <w:lvlJc w:val="left"/>
      <w:pPr>
        <w:ind w:left="540" w:hanging="270"/>
      </w:pPr>
    </w:lvl>
  </w:abstractNum>
  <w:abstractNum w:abstractNumId="4" w15:restartNumberingAfterBreak="0">
    <w:multiLevelType w:val="hybridMultilevel"/>
    <w:lvl w:ilvl="0" w15:tentative="1">
      <w:start w:val="1"/>
      <w:numFmt w:val="decimal"/>
      <w:lvlText w:val="%1."/>
      <w:lvlJc w:val="left"/>
      <w:pPr>
        <w:ind w:left="540" w:hanging="360"/>
      </w:pPr>
    </w:lvl>
  </w:abstractNum>
  <w:abstractNum w:abstractNumId="5" w15:restartNumberingAfterBreak="0">
    <w:multiLevelType w:val="hybridMultilevel"/>
    <w:lvl w:ilvl="0" w15:tentative="1">
      <w:start w:val="1"/>
      <w:numFmt w:val="decimal"/>
      <w:lvlText w:val="%1."/>
      <w:lvlJc w:val="left"/>
      <w:pPr>
        <w:ind w:left="540" w:hanging="360"/>
      </w:pPr>
    </w:lvl>
  </w:abstractNum>
  <w:abstractNum w:abstractNumId="6" w15:restartNumberingAfterBreak="0">
    <w:multiLevelType w:val="hybridMultilevel"/>
    <w:lvl w:ilvl="0" w15:tentative="1">
      <w:start w:val="1"/>
      <w:numFmt w:val="decimal"/>
      <w:lvlText w:val="%1."/>
      <w:lvlJc w:val="left"/>
      <w:pPr>
        <w:ind w:left="540" w:hanging="360"/>
      </w:pPr>
    </w:lvl>
  </w:abstractNum>
  <w:abstractNum w:abstractNumId="7" w15:restartNumberingAfterBreak="0">
    <w:multiLevelType w:val="hybridMultilevel"/>
    <w:lvl w:ilvl="0" w15:tentative="1">
      <w:start w:val="1"/>
      <w:numFmt w:val="decimal"/>
      <w:lvlText w:val="%1."/>
      <w:lvlJc w:val="left"/>
      <w:pPr>
        <w:ind w:left="540" w:hanging="360"/>
      </w:pPr>
    </w:lvl>
  </w:abstractNum>
  <w:abstractNum w:abstractNumId="8" w15:restartNumberingAfterBreak="0">
    <w:multiLevelType w:val="hybridMultilevel"/>
    <w:lvl w:ilvl="0" w15:tentative="1">
      <w:start w:val="1"/>
      <w:numFmt w:val="decimal"/>
      <w:lvlText w:val="%1."/>
      <w:lvlJc w:val="left"/>
      <w:pPr>
        <w:ind w:left="540" w:hanging="360"/>
      </w:pPr>
    </w:lvl>
  </w:abstractNum>
  <w:abstractNum w:abstractNumId="9" w15:restartNumberingAfterBreak="0">
    <w:multiLevelType w:val="hybridMultilevel"/>
    <w:lvl w:ilvl="0" w15:tentative="1">
      <w:start w:val="1"/>
      <w:numFmt w:val="decimal"/>
      <w:lvlText w:val="%1."/>
      <w:lvlJc w:val="left"/>
      <w:pPr>
        <w:ind w:left="540" w:hanging="360"/>
      </w:pPr>
    </w:lvl>
  </w:abstractNum>
  <w:abstractNum w:abstractNumId="10" w15:restartNumberingAfterBreak="0">
    <w:multiLevelType w:val="hybridMultilevel"/>
    <w:lvl w:ilvl="0" w15:tentative="1">
      <w:start w:val="1"/>
      <w:numFmt w:val="decimal"/>
      <w:lvlText w:val="%1."/>
      <w:lvlJc w:val="left"/>
      <w:pPr>
        <w:ind w:left="540" w:hanging="360"/>
      </w:pPr>
    </w:lvl>
  </w:abstractNum>
  <w:abstractNum w:abstractNumId="11"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 w:numId="4">
    <w:abstractNumId w:val="5"/>
    <w:lvlOverride w:ilvl="0">
      <w:startOverride w:val="1"/>
    </w:lvlOverride>
  </w:num>
  <w:num w:numId="5">
    <w:abstractNumId w:val="6"/>
    <w:lvlOverride w:ilvl="0">
      <w:startOverride w:val="1"/>
    </w:lvlOverride>
  </w:num>
  <w:num w:numId="6">
    <w:abstractNumId w:val="3"/>
    <w:lvlOverride w:ilvl="0">
      <w:startOverride w:val="1"/>
    </w:lvlOverride>
  </w:num>
  <w:num w:numId="7">
    <w:abstractNumId w:val="7"/>
    <w:lvlOverride w:ilvl="0">
      <w:startOverride w:val="1"/>
    </w:lvlOverride>
  </w:num>
  <w:num w:numId="8">
    <w:abstractNumId w:val="8"/>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EduJA Staff Handbook</dc:title>
  <dc:creator>Ohana Jamaica Limited</dc:creator>
  <dc:description>Training Guide, Code of Conduct &amp; Compliance Manual for Sales Associates, Administrative Staff &amp; Teachers</dc:description>
  <cp:lastModifiedBy>Un-named</cp:lastModifiedBy>
  <cp:revision>1</cp:revision>
  <dcterms:created xsi:type="dcterms:W3CDTF">2026-09-01T14:05:55.533Z</dcterms:created>
  <dcterms:modified xsi:type="dcterms:W3CDTF">2026-09-01T14:05:55.533Z</dcterms:modified>
</cp:coreProperties>
</file>

<file path=docProps/custom.xml><?xml version="1.0" encoding="utf-8"?>
<Properties xmlns="http://schemas.openxmlformats.org/officeDocument/2006/custom-properties" xmlns:vt="http://schemas.openxmlformats.org/officeDocument/2006/docPropsVTypes"/>
</file>